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17829240"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#108</w:t>
      </w:r>
      <w:r>
        <w:rPr>
          <w:rFonts w:ascii="Arial" w:hAnsi="Arial" w:cs="Arial"/>
          <w:sz w:val="22"/>
          <w:szCs w:val="22"/>
        </w:rPr>
        <w:tab/>
      </w:r>
      <w:r w:rsidR="00612AAE" w:rsidRPr="00612AAE">
        <w:rPr>
          <w:rFonts w:ascii="Arial" w:hAnsi="Arial" w:cs="Arial"/>
          <w:sz w:val="22"/>
          <w:szCs w:val="22"/>
        </w:rPr>
        <w:t>R2-1915288</w:t>
      </w:r>
    </w:p>
    <w:bookmarkEnd w:id="0"/>
    <w:p w14:paraId="27C15FB6" w14:textId="77777777" w:rsidR="00D132A4" w:rsidRPr="00402E57" w:rsidRDefault="00D132A4" w:rsidP="00D132A4">
      <w:pPr>
        <w:spacing w:after="60"/>
        <w:ind w:left="1985" w:hanging="1985"/>
        <w:rPr>
          <w:rFonts w:cs="Arial"/>
          <w:b/>
          <w:sz w:val="22"/>
          <w:lang w:val="en-GB"/>
        </w:rPr>
      </w:pPr>
      <w:r w:rsidRPr="00402E57">
        <w:rPr>
          <w:rFonts w:cs="Arial"/>
          <w:b/>
          <w:sz w:val="22"/>
          <w:lang w:val="en-GB"/>
        </w:rPr>
        <w:t>Reno, USA, 18-22 November 2019</w:t>
      </w:r>
    </w:p>
    <w:p w14:paraId="640B18F4" w14:textId="77777777" w:rsidR="00286831" w:rsidRPr="00402E57" w:rsidRDefault="00286831" w:rsidP="00120D47">
      <w:pPr>
        <w:pStyle w:val="3GPPHeader"/>
        <w:spacing w:after="0"/>
        <w:rPr>
          <w:rFonts w:ascii="Arial" w:hAnsi="Arial" w:cs="Arial"/>
          <w:sz w:val="22"/>
        </w:rPr>
      </w:pPr>
    </w:p>
    <w:p w14:paraId="18C94194" w14:textId="77777777" w:rsidR="00120D47" w:rsidRPr="00402E57" w:rsidRDefault="00120D47" w:rsidP="00120D47">
      <w:pPr>
        <w:pStyle w:val="3GPPHeader"/>
        <w:spacing w:after="0"/>
        <w:rPr>
          <w:rFonts w:ascii="Arial" w:hAnsi="Arial" w:cs="Arial"/>
          <w:sz w:val="22"/>
        </w:rPr>
      </w:pPr>
      <w:r w:rsidRPr="00402E57">
        <w:rPr>
          <w:rFonts w:ascii="Arial" w:hAnsi="Arial" w:cs="Arial"/>
          <w:sz w:val="22"/>
        </w:rPr>
        <w:tab/>
      </w:r>
    </w:p>
    <w:p w14:paraId="7BE584AF" w14:textId="5942417A" w:rsidR="00120D47" w:rsidRPr="00D87115" w:rsidRDefault="00120D47" w:rsidP="00F120D3">
      <w:pPr>
        <w:pStyle w:val="3GPPHeader"/>
        <w:spacing w:after="120"/>
        <w:rPr>
          <w:rFonts w:ascii="Arial" w:hAnsi="Arial" w:cs="Arial"/>
          <w:b w:val="0"/>
          <w:sz w:val="22"/>
        </w:rPr>
      </w:pPr>
      <w:r w:rsidRPr="00D87115">
        <w:rPr>
          <w:rFonts w:ascii="Arial" w:hAnsi="Arial" w:cs="Arial"/>
          <w:sz w:val="22"/>
        </w:rPr>
        <w:t>Agenda Item:</w:t>
      </w:r>
      <w:r w:rsidRPr="00D87115">
        <w:rPr>
          <w:rFonts w:ascii="Arial" w:hAnsi="Arial" w:cs="Arial"/>
          <w:sz w:val="22"/>
        </w:rPr>
        <w:tab/>
      </w:r>
      <w:r w:rsidR="00E14055" w:rsidRPr="00E14055">
        <w:rPr>
          <w:rFonts w:ascii="Arial" w:hAnsi="Arial" w:cs="Arial"/>
          <w:b w:val="0"/>
          <w:sz w:val="22"/>
        </w:rPr>
        <w:t>6.20.1</w:t>
      </w:r>
      <w:r w:rsidR="00E14055">
        <w:rPr>
          <w:rFonts w:ascii="Arial" w:hAnsi="Arial" w:cs="Arial"/>
          <w:b w:val="0"/>
          <w:sz w:val="22"/>
        </w:rPr>
        <w:t xml:space="preserve"> </w:t>
      </w:r>
      <w:r w:rsidR="00E14055" w:rsidRPr="00E14055">
        <w:rPr>
          <w:rFonts w:ascii="Arial" w:hAnsi="Arial" w:cs="Arial"/>
          <w:b w:val="0"/>
          <w:sz w:val="22"/>
        </w:rPr>
        <w:t>RAN2 led TEI16 enhancements - Control plane related</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0C2D4C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C560B">
        <w:rPr>
          <w:rFonts w:ascii="Arial" w:hAnsi="Arial" w:cs="Arial"/>
          <w:b w:val="0"/>
          <w:bCs/>
          <w:sz w:val="22"/>
          <w:lang w:val="en-US"/>
        </w:rPr>
        <w:t>A second SSB periodicity in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A88EF65" w:rsidR="00120D47" w:rsidRDefault="004D10CC" w:rsidP="00120D47">
      <w:pPr>
        <w:pStyle w:val="Heading1"/>
      </w:pPr>
      <w:r>
        <w:t>Introduction</w:t>
      </w:r>
    </w:p>
    <w:p w14:paraId="6254CD48" w14:textId="7AFE14CB" w:rsidR="007C74E2" w:rsidRPr="007C74E2" w:rsidRDefault="007C74E2" w:rsidP="007C74E2">
      <w:pPr>
        <w:rPr>
          <w:lang w:val="en-GB" w:eastAsia="zh-CN"/>
        </w:rPr>
      </w:pPr>
      <w:r>
        <w:rPr>
          <w:lang w:val="en-GB" w:eastAsia="zh-CN"/>
        </w:rPr>
        <w:t>In this contribution a 2</w:t>
      </w:r>
      <w:r w:rsidRPr="007C74E2">
        <w:rPr>
          <w:vertAlign w:val="superscript"/>
          <w:lang w:val="en-GB" w:eastAsia="zh-CN"/>
        </w:rPr>
        <w:t>nd</w:t>
      </w:r>
      <w:r>
        <w:rPr>
          <w:lang w:val="en-GB" w:eastAsia="zh-CN"/>
        </w:rPr>
        <w:t xml:space="preserve"> SSB periodicity in Idle and Inactive mode is discussed further. </w:t>
      </w:r>
    </w:p>
    <w:p w14:paraId="6F8A1D5D" w14:textId="46260263" w:rsidR="004D10CC" w:rsidRDefault="004D10CC" w:rsidP="004D10CC">
      <w:pPr>
        <w:pStyle w:val="Heading1"/>
      </w:pPr>
      <w:bookmarkStart w:id="1" w:name="_Toc242573354"/>
      <w:r>
        <w:t>Background</w:t>
      </w:r>
    </w:p>
    <w:p w14:paraId="3B3665C2" w14:textId="2A046BA0" w:rsidR="00B919D3" w:rsidRPr="00B919D3" w:rsidRDefault="00B919D3" w:rsidP="00B919D3">
      <w:pPr>
        <w:rPr>
          <w:b/>
          <w:u w:val="single"/>
          <w:lang w:val="en-GB" w:eastAsia="zh-CN"/>
        </w:rPr>
      </w:pPr>
      <w:r w:rsidRPr="00B919D3">
        <w:rPr>
          <w:b/>
          <w:u w:val="single"/>
          <w:lang w:val="en-GB" w:eastAsia="zh-CN"/>
        </w:rPr>
        <w:t>RAN2#107bis</w:t>
      </w:r>
    </w:p>
    <w:p w14:paraId="06A1A1A9" w14:textId="5A04351C" w:rsidR="00B919D3" w:rsidRPr="00B919D3" w:rsidRDefault="00C47124" w:rsidP="00B919D3">
      <w:pPr>
        <w:rPr>
          <w:lang w:val="en-GB" w:eastAsia="zh-CN"/>
        </w:rPr>
      </w:pPr>
      <w:r>
        <w:rPr>
          <w:lang w:val="en-GB" w:eastAsia="zh-CN"/>
        </w:rPr>
        <w:t>RAN2 did not discuss a 2</w:t>
      </w:r>
      <w:r w:rsidRPr="007C74E2">
        <w:rPr>
          <w:vertAlign w:val="superscript"/>
          <w:lang w:val="en-GB" w:eastAsia="zh-CN"/>
        </w:rPr>
        <w:t>nd</w:t>
      </w:r>
      <w:r>
        <w:rPr>
          <w:lang w:val="en-GB" w:eastAsia="zh-CN"/>
        </w:rPr>
        <w:t xml:space="preserve"> SSB periodicity in Idle and Inactive mode during RAN2#107bis</w:t>
      </w:r>
      <w:r w:rsidR="00402E57">
        <w:rPr>
          <w:lang w:val="en-GB" w:eastAsia="zh-CN"/>
        </w:rPr>
        <w:t xml:space="preserve"> [1-4]</w:t>
      </w:r>
      <w:r>
        <w:rPr>
          <w:lang w:val="en-GB" w:eastAsia="zh-CN"/>
        </w:rPr>
        <w:t>, but decided to wait for RAN4 reply</w:t>
      </w:r>
      <w:r w:rsidR="00402E57">
        <w:rPr>
          <w:lang w:val="en-GB" w:eastAsia="zh-CN"/>
        </w:rPr>
        <w:t xml:space="preserve"> about the impact on RAN4 core requirements</w:t>
      </w:r>
      <w:r>
        <w:rPr>
          <w:lang w:val="en-GB" w:eastAsia="zh-CN"/>
        </w:rPr>
        <w:t xml:space="preserve"> [</w:t>
      </w:r>
      <w:r w:rsidR="00402E57">
        <w:rPr>
          <w:lang w:val="en-GB" w:eastAsia="zh-CN"/>
        </w:rPr>
        <w:t>5</w:t>
      </w:r>
      <w:r>
        <w:rPr>
          <w:lang w:val="en-GB" w:eastAsia="zh-CN"/>
        </w:rPr>
        <w:t xml:space="preserve">]. </w:t>
      </w:r>
    </w:p>
    <w:p w14:paraId="3EB722CD" w14:textId="32D82C85" w:rsidR="00A222E0" w:rsidRPr="00A222E0" w:rsidRDefault="00A222E0" w:rsidP="00A222E0">
      <w:pPr>
        <w:rPr>
          <w:b/>
          <w:u w:val="single"/>
          <w:lang w:val="en-GB" w:eastAsia="zh-CN"/>
        </w:rPr>
      </w:pPr>
      <w:r w:rsidRPr="00A222E0">
        <w:rPr>
          <w:b/>
          <w:u w:val="single"/>
          <w:lang w:val="en-GB" w:eastAsia="zh-CN"/>
        </w:rPr>
        <w:t>RAN4 reply</w:t>
      </w:r>
    </w:p>
    <w:p w14:paraId="00F743A3" w14:textId="5A04DEAB" w:rsidR="005C3579" w:rsidRPr="00894A91" w:rsidRDefault="00A222E0" w:rsidP="00894A91">
      <w:pPr>
        <w:rPr>
          <w:lang w:val="en-GB" w:eastAsia="zh-CN"/>
        </w:rPr>
      </w:pPr>
      <w:r>
        <w:rPr>
          <w:lang w:val="en-GB" w:eastAsia="zh-CN"/>
        </w:rPr>
        <w:t xml:space="preserve">RAN4 replied that </w:t>
      </w:r>
      <w:r w:rsidR="006A2817">
        <w:rPr>
          <w:lang w:val="en-GB" w:eastAsia="zh-CN"/>
        </w:rPr>
        <w:t xml:space="preserve">when the </w:t>
      </w:r>
      <w:r w:rsidR="002D3340">
        <w:rPr>
          <w:lang w:val="en-GB" w:eastAsia="zh-CN"/>
        </w:rPr>
        <w:t>REL-15</w:t>
      </w:r>
      <w:r w:rsidR="006A2817">
        <w:rPr>
          <w:lang w:val="en-GB" w:eastAsia="zh-CN"/>
        </w:rPr>
        <w:t xml:space="preserve"> SMTC periodicities and duration</w:t>
      </w:r>
      <w:r w:rsidR="002D3340">
        <w:rPr>
          <w:lang w:val="en-GB" w:eastAsia="zh-CN"/>
        </w:rPr>
        <w:t>s</w:t>
      </w:r>
      <w:r w:rsidR="006A2817">
        <w:rPr>
          <w:lang w:val="en-GB" w:eastAsia="zh-CN"/>
        </w:rPr>
        <w:t xml:space="preserve"> are re-used for the 2</w:t>
      </w:r>
      <w:r w:rsidR="006A2817" w:rsidRPr="006A2817">
        <w:rPr>
          <w:vertAlign w:val="superscript"/>
          <w:lang w:val="en-GB" w:eastAsia="zh-CN"/>
        </w:rPr>
        <w:t>nd</w:t>
      </w:r>
      <w:r w:rsidR="006A2817">
        <w:rPr>
          <w:lang w:val="en-GB" w:eastAsia="zh-CN"/>
        </w:rPr>
        <w:t xml:space="preserve"> SSB periodicity </w:t>
      </w:r>
      <w:r w:rsidR="002D3340">
        <w:rPr>
          <w:lang w:val="en-GB" w:eastAsia="zh-CN"/>
        </w:rPr>
        <w:t xml:space="preserve">then </w:t>
      </w:r>
      <w:r w:rsidR="006A2817">
        <w:rPr>
          <w:lang w:val="en-GB" w:eastAsia="zh-CN"/>
        </w:rPr>
        <w:t xml:space="preserve">there is </w:t>
      </w:r>
      <w:r w:rsidR="002B3626">
        <w:rPr>
          <w:lang w:val="en-GB" w:eastAsia="zh-CN"/>
        </w:rPr>
        <w:t xml:space="preserve">minor impact on RAN4 core requirements, i.e. RAN4 can fix that once RAN2 has </w:t>
      </w:r>
      <w:r w:rsidR="00894A91">
        <w:rPr>
          <w:lang w:val="en-GB" w:eastAsia="zh-CN"/>
        </w:rPr>
        <w:t>made further agreements</w:t>
      </w:r>
      <w:r w:rsidR="005C3579">
        <w:rPr>
          <w:lang w:val="en-GB" w:eastAsia="zh-CN"/>
        </w:rPr>
        <w:t xml:space="preserve"> [</w:t>
      </w:r>
      <w:r w:rsidR="00894A91">
        <w:rPr>
          <w:lang w:val="en-GB" w:eastAsia="zh-CN"/>
        </w:rPr>
        <w:t>6</w:t>
      </w:r>
      <w:r w:rsidR="005C3579">
        <w:rPr>
          <w:lang w:val="en-GB" w:eastAsia="zh-CN"/>
        </w:rPr>
        <w:t>]</w:t>
      </w:r>
      <w:r w:rsidR="002B3626">
        <w:rPr>
          <w:lang w:val="en-GB" w:eastAsia="zh-CN"/>
        </w:rPr>
        <w:t xml:space="preserve">. </w:t>
      </w:r>
      <w:r w:rsidR="005C3579">
        <w:rPr>
          <w:lang w:eastAsia="zh-CN"/>
        </w:rPr>
        <w:t xml:space="preserve">RAN4 also replied that both </w:t>
      </w:r>
      <w:r w:rsidR="005C3579">
        <w:rPr>
          <w:rFonts w:cs="Arial"/>
          <w:lang w:eastAsia="ko-KR"/>
        </w:rPr>
        <w:t>intra and inter-frequency scenarios can be addressed in REL-16</w:t>
      </w:r>
      <w:r w:rsidR="00894A91">
        <w:rPr>
          <w:rFonts w:cs="Arial"/>
          <w:lang w:eastAsia="ko-KR"/>
        </w:rPr>
        <w:t xml:space="preserve"> and indicated </w:t>
      </w:r>
      <w:r w:rsidR="00FF3DFF">
        <w:rPr>
          <w:rFonts w:cs="Arial"/>
          <w:lang w:eastAsia="ko-KR"/>
        </w:rPr>
        <w:t xml:space="preserve">that </w:t>
      </w:r>
      <w:r w:rsidR="005C3579">
        <w:rPr>
          <w:rFonts w:cs="Arial"/>
        </w:rPr>
        <w:t>[</w:t>
      </w:r>
      <w:r w:rsidR="00894A91">
        <w:rPr>
          <w:rFonts w:cs="Arial"/>
        </w:rPr>
        <w:t>6</w:t>
      </w:r>
      <w:r w:rsidR="005C3579">
        <w:rPr>
          <w:rFonts w:cs="Arial"/>
        </w:rPr>
        <w:t>]</w:t>
      </w:r>
      <w:r w:rsidR="00B919D3">
        <w:rPr>
          <w:rFonts w:cs="Arial"/>
        </w:rPr>
        <w:t>:</w:t>
      </w:r>
    </w:p>
    <w:p w14:paraId="0ED8A3C8" w14:textId="77777777" w:rsidR="00B919D3" w:rsidRPr="00B919D3" w:rsidRDefault="00B919D3" w:rsidP="00B919D3">
      <w:pPr>
        <w:jc w:val="both"/>
        <w:rPr>
          <w:rFonts w:ascii="Times New Roman" w:hAnsi="Times New Roman"/>
          <w:i/>
          <w:sz w:val="18"/>
          <w:szCs w:val="18"/>
          <w:lang w:eastAsia="zh-CN"/>
        </w:rPr>
      </w:pPr>
      <w:r w:rsidRPr="00B919D3">
        <w:rPr>
          <w:rFonts w:ascii="Times New Roman" w:hAnsi="Times New Roman"/>
          <w:i/>
          <w:sz w:val="18"/>
          <w:szCs w:val="18"/>
          <w:lang w:eastAsia="zh-CN"/>
        </w:rPr>
        <w:t xml:space="preserve">Some companies expressed concerns about possible impact on legacy UE idle mode </w:t>
      </w:r>
      <w:proofErr w:type="spellStart"/>
      <w:r w:rsidRPr="00B919D3">
        <w:rPr>
          <w:rFonts w:ascii="Times New Roman" w:hAnsi="Times New Roman"/>
          <w:i/>
          <w:sz w:val="18"/>
          <w:szCs w:val="18"/>
          <w:lang w:eastAsia="zh-CN"/>
        </w:rPr>
        <w:t>behaviour</w:t>
      </w:r>
      <w:proofErr w:type="spellEnd"/>
      <w:r w:rsidRPr="00B919D3">
        <w:rPr>
          <w:rFonts w:ascii="Times New Roman" w:hAnsi="Times New Roman"/>
          <w:i/>
          <w:sz w:val="18"/>
          <w:szCs w:val="18"/>
          <w:lang w:eastAsia="zh-CN"/>
        </w:rPr>
        <w:t xml:space="preserve"> that should be further </w:t>
      </w:r>
      <w:proofErr w:type="spellStart"/>
      <w:r w:rsidRPr="00B919D3">
        <w:rPr>
          <w:rFonts w:ascii="Times New Roman" w:hAnsi="Times New Roman"/>
          <w:i/>
          <w:sz w:val="18"/>
          <w:szCs w:val="18"/>
          <w:lang w:eastAsia="zh-CN"/>
        </w:rPr>
        <w:t>analysed</w:t>
      </w:r>
      <w:proofErr w:type="spellEnd"/>
      <w:r w:rsidRPr="00B919D3">
        <w:rPr>
          <w:rFonts w:ascii="Times New Roman" w:hAnsi="Times New Roman"/>
          <w:i/>
          <w:sz w:val="18"/>
          <w:szCs w:val="18"/>
          <w:lang w:eastAsia="zh-CN"/>
        </w:rPr>
        <w:t>.</w:t>
      </w:r>
    </w:p>
    <w:p w14:paraId="72E004F0" w14:textId="63E1F686" w:rsidR="005C3579" w:rsidRPr="00C07BF6" w:rsidRDefault="00C07BF6" w:rsidP="005C3579">
      <w:pPr>
        <w:spacing w:after="120"/>
        <w:jc w:val="both"/>
        <w:rPr>
          <w:rFonts w:cs="Arial"/>
          <w:b/>
          <w:u w:val="single"/>
        </w:rPr>
      </w:pPr>
      <w:r w:rsidRPr="00C07BF6">
        <w:rPr>
          <w:rFonts w:cs="Arial"/>
          <w:b/>
          <w:u w:val="single"/>
        </w:rPr>
        <w:t>Configuration</w:t>
      </w:r>
    </w:p>
    <w:p w14:paraId="12502B17" w14:textId="67B393E6" w:rsidR="00C07BF6" w:rsidRDefault="00C07BF6" w:rsidP="005C3579">
      <w:pPr>
        <w:spacing w:after="120"/>
        <w:jc w:val="both"/>
        <w:rPr>
          <w:rFonts w:cs="Arial"/>
        </w:rPr>
      </w:pPr>
      <w:r>
        <w:rPr>
          <w:rFonts w:cs="Arial"/>
        </w:rPr>
        <w:t>A 2</w:t>
      </w:r>
      <w:r w:rsidRPr="00C07BF6">
        <w:rPr>
          <w:rFonts w:cs="Arial"/>
          <w:vertAlign w:val="superscript"/>
        </w:rPr>
        <w:t>nd</w:t>
      </w:r>
      <w:r>
        <w:rPr>
          <w:rFonts w:cs="Arial"/>
        </w:rPr>
        <w:t xml:space="preserve"> SSB periodicity in Idle/Inactive mode is intended </w:t>
      </w:r>
      <w:r w:rsidR="00526530">
        <w:rPr>
          <w:rFonts w:cs="Arial"/>
        </w:rPr>
        <w:t xml:space="preserve">to </w:t>
      </w:r>
      <w:r w:rsidR="006E0534">
        <w:rPr>
          <w:rFonts w:cs="Arial"/>
        </w:rPr>
        <w:t xml:space="preserve">save </w:t>
      </w:r>
      <w:r w:rsidR="00526530">
        <w:rPr>
          <w:rFonts w:cs="Arial"/>
        </w:rPr>
        <w:t>NW power to enable</w:t>
      </w:r>
      <w:r>
        <w:rPr>
          <w:rFonts w:cs="Arial"/>
        </w:rPr>
        <w:t xml:space="preserve"> a long </w:t>
      </w:r>
      <w:r w:rsidR="00FF3DFF">
        <w:rPr>
          <w:rFonts w:cs="Arial"/>
        </w:rPr>
        <w:t xml:space="preserve">SSB </w:t>
      </w:r>
      <w:r>
        <w:rPr>
          <w:rFonts w:cs="Arial"/>
        </w:rPr>
        <w:t xml:space="preserve">periodicity on some cells, which are temporarily not needed to carry </w:t>
      </w:r>
      <w:r w:rsidR="00526530">
        <w:rPr>
          <w:rFonts w:cs="Arial"/>
        </w:rPr>
        <w:t xml:space="preserve">traffic: </w:t>
      </w:r>
      <w:r w:rsidR="00807D83">
        <w:rPr>
          <w:rFonts w:cs="Arial"/>
        </w:rPr>
        <w:t xml:space="preserve">  </w:t>
      </w:r>
    </w:p>
    <w:p w14:paraId="6EBB4C5E" w14:textId="2245D7BD" w:rsidR="00C07BF6" w:rsidRDefault="00C07BF6" w:rsidP="005C3579">
      <w:pPr>
        <w:spacing w:after="120"/>
        <w:jc w:val="both"/>
        <w:rPr>
          <w:rFonts w:cs="Arial"/>
        </w:rPr>
      </w:pPr>
      <w:r>
        <w:rPr>
          <w:noProof/>
        </w:rPr>
        <w:drawing>
          <wp:inline distT="0" distB="0" distL="0" distR="0" wp14:anchorId="77C6D068" wp14:editId="3217DCED">
            <wp:extent cx="4433011" cy="234716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3970" t="25948" r="18836" b="20216"/>
                    <a:stretch/>
                  </pic:blipFill>
                  <pic:spPr bwMode="auto">
                    <a:xfrm>
                      <a:off x="0" y="0"/>
                      <a:ext cx="4440479" cy="2351114"/>
                    </a:xfrm>
                    <a:prstGeom prst="rect">
                      <a:avLst/>
                    </a:prstGeom>
                    <a:ln>
                      <a:noFill/>
                    </a:ln>
                    <a:extLst>
                      <a:ext uri="{53640926-AAD7-44D8-BBD7-CCE9431645EC}">
                        <a14:shadowObscured xmlns:a14="http://schemas.microsoft.com/office/drawing/2010/main"/>
                      </a:ext>
                    </a:extLst>
                  </pic:spPr>
                </pic:pic>
              </a:graphicData>
            </a:graphic>
          </wp:inline>
        </w:drawing>
      </w:r>
    </w:p>
    <w:p w14:paraId="0A8D7E65" w14:textId="63B97233" w:rsidR="00D379B6" w:rsidRDefault="00D379B6" w:rsidP="005C3579">
      <w:pPr>
        <w:spacing w:after="120"/>
        <w:jc w:val="both"/>
        <w:rPr>
          <w:rFonts w:cs="Arial"/>
        </w:rPr>
      </w:pPr>
      <w:r>
        <w:rPr>
          <w:rFonts w:cs="Arial"/>
        </w:rPr>
        <w:lastRenderedPageBreak/>
        <w:t>With a</w:t>
      </w:r>
      <w:r w:rsidR="00807D83">
        <w:rPr>
          <w:rFonts w:cs="Arial"/>
        </w:rPr>
        <w:t xml:space="preserve"> 2</w:t>
      </w:r>
      <w:r w:rsidR="00807D83" w:rsidRPr="00C07BF6">
        <w:rPr>
          <w:rFonts w:cs="Arial"/>
          <w:vertAlign w:val="superscript"/>
        </w:rPr>
        <w:t>nd</w:t>
      </w:r>
      <w:r w:rsidR="00807D83">
        <w:rPr>
          <w:rFonts w:cs="Arial"/>
        </w:rPr>
        <w:t xml:space="preserve"> SSB periodicity in Idle/Inactive mode </w:t>
      </w:r>
      <w:r>
        <w:rPr>
          <w:rFonts w:cs="Arial"/>
        </w:rPr>
        <w:t xml:space="preserve">it is possible </w:t>
      </w:r>
      <w:r w:rsidR="006E0534">
        <w:rPr>
          <w:rFonts w:cs="Arial"/>
        </w:rPr>
        <w:t>t</w:t>
      </w:r>
      <w:r w:rsidR="00807D83">
        <w:rPr>
          <w:rFonts w:cs="Arial"/>
        </w:rPr>
        <w:t>o indicate to REL-16 UEs that there are (some) cells on the same (SIB2) or a different frequency (SIB4) with a longer periodicity</w:t>
      </w:r>
      <w:r>
        <w:rPr>
          <w:rFonts w:cs="Arial"/>
        </w:rPr>
        <w:t xml:space="preserve"> than the camped cell</w:t>
      </w:r>
      <w:r w:rsidR="00807D83">
        <w:rPr>
          <w:rFonts w:cs="Arial"/>
        </w:rPr>
        <w:t xml:space="preserve">, such that REL-16 UEs may more efficiently detect </w:t>
      </w:r>
      <w:r>
        <w:rPr>
          <w:rFonts w:cs="Arial"/>
        </w:rPr>
        <w:t xml:space="preserve">and measure </w:t>
      </w:r>
      <w:r w:rsidR="00807D83">
        <w:rPr>
          <w:rFonts w:cs="Arial"/>
        </w:rPr>
        <w:t xml:space="preserve">those cells. </w:t>
      </w:r>
    </w:p>
    <w:p w14:paraId="6C72299A" w14:textId="2E9E50C6" w:rsidR="00807D83" w:rsidRDefault="00807D83" w:rsidP="005C3579">
      <w:pPr>
        <w:spacing w:after="120"/>
        <w:jc w:val="both"/>
        <w:rPr>
          <w:rFonts w:cs="Arial"/>
        </w:rPr>
      </w:pPr>
      <w:r>
        <w:rPr>
          <w:rFonts w:cs="Arial"/>
        </w:rPr>
        <w:t xml:space="preserve">It is assumed that </w:t>
      </w:r>
      <w:r w:rsidR="00444844">
        <w:rPr>
          <w:rFonts w:cs="Arial"/>
        </w:rPr>
        <w:t xml:space="preserve">there is no impact on legacy UEs, and legacy UEs are not required to be informed about the longer periodicity cells. There is no strong need for legacy UEs to detect and re-select to sleeper cells. </w:t>
      </w:r>
    </w:p>
    <w:p w14:paraId="1DEB3AB7" w14:textId="73FBCB08" w:rsidR="00FA27C0" w:rsidRDefault="009D725A" w:rsidP="00FA27C0">
      <w:pPr>
        <w:pStyle w:val="Heading1"/>
      </w:pPr>
      <w:r>
        <w:t>Discussion</w:t>
      </w:r>
      <w:bookmarkEnd w:id="1"/>
    </w:p>
    <w:p w14:paraId="1DA8E0CD" w14:textId="2EC128FD" w:rsidR="007553D9" w:rsidRPr="007553D9" w:rsidRDefault="007553D9" w:rsidP="007553D9">
      <w:pPr>
        <w:rPr>
          <w:b/>
          <w:u w:val="single"/>
          <w:lang w:val="en-GB" w:eastAsia="zh-CN"/>
        </w:rPr>
      </w:pPr>
      <w:r w:rsidRPr="007553D9">
        <w:rPr>
          <w:b/>
          <w:u w:val="single"/>
          <w:lang w:val="en-GB" w:eastAsia="zh-CN"/>
        </w:rPr>
        <w:t>Impact on legacy UE</w:t>
      </w:r>
    </w:p>
    <w:p w14:paraId="434E4B60" w14:textId="7FDBB278" w:rsidR="007553D9" w:rsidRDefault="007553D9" w:rsidP="007553D9">
      <w:pPr>
        <w:rPr>
          <w:lang w:val="en-GB" w:eastAsia="zh-CN"/>
        </w:rPr>
      </w:pPr>
      <w:r>
        <w:rPr>
          <w:lang w:val="en-GB" w:eastAsia="zh-CN"/>
        </w:rPr>
        <w:t xml:space="preserve">The impact on </w:t>
      </w:r>
      <w:r w:rsidR="0016590C">
        <w:rPr>
          <w:lang w:val="en-GB" w:eastAsia="zh-CN"/>
        </w:rPr>
        <w:t xml:space="preserve">legacy UE in Idle mode is limited, i.e. </w:t>
      </w:r>
      <w:r w:rsidR="008763E9">
        <w:rPr>
          <w:lang w:val="en-GB" w:eastAsia="zh-CN"/>
        </w:rPr>
        <w:t xml:space="preserve">the </w:t>
      </w:r>
      <w:r w:rsidR="00492DC6">
        <w:rPr>
          <w:lang w:val="en-GB" w:eastAsia="zh-CN"/>
        </w:rPr>
        <w:t xml:space="preserve">intra-frequency </w:t>
      </w:r>
      <w:r w:rsidR="008763E9">
        <w:rPr>
          <w:lang w:val="en-GB" w:eastAsia="zh-CN"/>
        </w:rPr>
        <w:t xml:space="preserve">detection latency when DRX cycle of 320 </w:t>
      </w:r>
      <w:proofErr w:type="spellStart"/>
      <w:r w:rsidR="008763E9">
        <w:rPr>
          <w:lang w:val="en-GB" w:eastAsia="zh-CN"/>
        </w:rPr>
        <w:t>ms</w:t>
      </w:r>
      <w:proofErr w:type="spellEnd"/>
      <w:r w:rsidR="008763E9">
        <w:rPr>
          <w:lang w:val="en-GB" w:eastAsia="zh-CN"/>
        </w:rPr>
        <w:t xml:space="preserve"> </w:t>
      </w:r>
      <w:r w:rsidR="006E0534">
        <w:rPr>
          <w:lang w:val="en-GB" w:eastAsia="zh-CN"/>
        </w:rPr>
        <w:t xml:space="preserve">and a long SMTC e.g. 160ms is </w:t>
      </w:r>
      <w:r w:rsidR="008763E9">
        <w:rPr>
          <w:lang w:val="en-GB" w:eastAsia="zh-CN"/>
        </w:rPr>
        <w:t>configure</w:t>
      </w:r>
      <w:r w:rsidR="006E0534">
        <w:rPr>
          <w:lang w:val="en-GB" w:eastAsia="zh-CN"/>
        </w:rPr>
        <w:t>d for legacy UEs but an SMTC of 20ms would be used for normal cells with an R16 UE</w:t>
      </w:r>
      <w:r w:rsidR="008763E9">
        <w:rPr>
          <w:lang w:val="en-GB" w:eastAsia="zh-CN"/>
        </w:rPr>
        <w:t xml:space="preserve">, i.e. M2 = 1.5. </w:t>
      </w:r>
    </w:p>
    <w:p w14:paraId="789334C5" w14:textId="77777777" w:rsidR="0016590C" w:rsidRPr="00A11721" w:rsidRDefault="0016590C" w:rsidP="0016590C">
      <w:pPr>
        <w:keepNext/>
        <w:spacing w:before="60"/>
        <w:jc w:val="center"/>
        <w:rPr>
          <w:rFonts w:ascii="Times New Roman" w:hAnsi="Times New Roman"/>
          <w:b/>
          <w:bCs/>
          <w:sz w:val="18"/>
          <w:szCs w:val="18"/>
          <w:lang w:val="en-GB"/>
        </w:rPr>
      </w:pPr>
      <w:r w:rsidRPr="00A11721">
        <w:rPr>
          <w:rFonts w:ascii="Times New Roman" w:hAnsi="Times New Roman"/>
          <w:b/>
          <w:bCs/>
          <w:sz w:val="18"/>
          <w:szCs w:val="18"/>
        </w:rPr>
        <w:t xml:space="preserve">Table 4.2.2.3-1: </w:t>
      </w:r>
      <w:proofErr w:type="spellStart"/>
      <w:r w:rsidRPr="00A11721">
        <w:rPr>
          <w:rFonts w:ascii="Times New Roman" w:hAnsi="Times New Roman"/>
          <w:b/>
          <w:bCs/>
          <w:sz w:val="18"/>
          <w:szCs w:val="18"/>
        </w:rPr>
        <w:t>T</w:t>
      </w:r>
      <w:r w:rsidRPr="00A11721">
        <w:rPr>
          <w:rFonts w:ascii="Times New Roman" w:hAnsi="Times New Roman"/>
          <w:b/>
          <w:bCs/>
          <w:sz w:val="18"/>
          <w:szCs w:val="18"/>
          <w:vertAlign w:val="subscript"/>
        </w:rPr>
        <w:t>detect,NR_Intra</w:t>
      </w:r>
      <w:proofErr w:type="spellEnd"/>
      <w:r w:rsidRPr="00A11721">
        <w:rPr>
          <w:rFonts w:ascii="Times New Roman" w:hAnsi="Times New Roman"/>
          <w:b/>
          <w:bCs/>
          <w:sz w:val="18"/>
          <w:szCs w:val="18"/>
          <w:vertAlign w:val="subscript"/>
        </w:rPr>
        <w:t>,</w:t>
      </w:r>
      <w:r w:rsidRPr="00A11721">
        <w:rPr>
          <w:rFonts w:ascii="Times New Roman" w:hAnsi="Times New Roman"/>
          <w:b/>
          <w:bCs/>
          <w:sz w:val="18"/>
          <w:szCs w:val="18"/>
        </w:rPr>
        <w:t xml:space="preserve"> </w:t>
      </w:r>
      <w:proofErr w:type="spellStart"/>
      <w:r w:rsidRPr="00A11721">
        <w:rPr>
          <w:rFonts w:ascii="Times New Roman" w:hAnsi="Times New Roman"/>
          <w:b/>
          <w:bCs/>
          <w:sz w:val="18"/>
          <w:szCs w:val="18"/>
        </w:rPr>
        <w:t>T</w:t>
      </w:r>
      <w:r w:rsidRPr="00A11721">
        <w:rPr>
          <w:rFonts w:ascii="Times New Roman" w:hAnsi="Times New Roman"/>
          <w:b/>
          <w:bCs/>
          <w:sz w:val="18"/>
          <w:szCs w:val="18"/>
          <w:vertAlign w:val="subscript"/>
        </w:rPr>
        <w:t>measure,NR_Intra</w:t>
      </w:r>
      <w:proofErr w:type="spellEnd"/>
      <w:r w:rsidRPr="00A11721">
        <w:rPr>
          <w:rFonts w:ascii="Times New Roman" w:hAnsi="Times New Roman"/>
          <w:b/>
          <w:bCs/>
          <w:sz w:val="18"/>
          <w:szCs w:val="18"/>
        </w:rPr>
        <w:t xml:space="preserve"> and </w:t>
      </w:r>
      <w:proofErr w:type="spellStart"/>
      <w:r w:rsidRPr="00A11721">
        <w:rPr>
          <w:rFonts w:ascii="Times New Roman" w:hAnsi="Times New Roman"/>
          <w:b/>
          <w:bCs/>
          <w:sz w:val="18"/>
          <w:szCs w:val="18"/>
        </w:rPr>
        <w:t>T</w:t>
      </w:r>
      <w:r w:rsidRPr="00A11721">
        <w:rPr>
          <w:rFonts w:ascii="Times New Roman" w:hAnsi="Times New Roman"/>
          <w:b/>
          <w:bCs/>
          <w:sz w:val="18"/>
          <w:szCs w:val="18"/>
          <w:vertAlign w:val="subscript"/>
        </w:rPr>
        <w:t>evaluate,NR_Intra</w:t>
      </w:r>
      <w:proofErr w:type="spellEnd"/>
    </w:p>
    <w:tbl>
      <w:tblPr>
        <w:tblW w:w="5000" w:type="pct"/>
        <w:jc w:val="center"/>
        <w:tblCellMar>
          <w:left w:w="0" w:type="dxa"/>
          <w:right w:w="0" w:type="dxa"/>
        </w:tblCellMar>
        <w:tblLook w:val="04A0" w:firstRow="1" w:lastRow="0" w:firstColumn="1" w:lastColumn="0" w:noHBand="0" w:noVBand="1"/>
      </w:tblPr>
      <w:tblGrid>
        <w:gridCol w:w="1129"/>
        <w:gridCol w:w="990"/>
        <w:gridCol w:w="992"/>
        <w:gridCol w:w="2075"/>
        <w:gridCol w:w="2077"/>
        <w:gridCol w:w="2077"/>
      </w:tblGrid>
      <w:tr w:rsidR="0016590C" w14:paraId="233E710F" w14:textId="77777777" w:rsidTr="0016590C">
        <w:trPr>
          <w:cantSplit/>
          <w:trHeight w:val="308"/>
          <w:jc w:val="center"/>
        </w:trPr>
        <w:tc>
          <w:tcPr>
            <w:tcW w:w="60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5C5C5B"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b/>
                <w:bCs/>
                <w:sz w:val="16"/>
                <w:szCs w:val="16"/>
              </w:rPr>
              <w:t>DRX cycle length [s]</w:t>
            </w:r>
          </w:p>
        </w:tc>
        <w:tc>
          <w:tcPr>
            <w:tcW w:w="106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F363" w14:textId="77777777" w:rsidR="0016590C" w:rsidRPr="00A11721" w:rsidRDefault="0016590C" w:rsidP="0016590C">
            <w:pPr>
              <w:keepNext/>
              <w:spacing w:after="0"/>
              <w:jc w:val="center"/>
              <w:rPr>
                <w:rFonts w:ascii="Times New Roman" w:hAnsi="Times New Roman"/>
                <w:b/>
                <w:bCs/>
                <w:sz w:val="16"/>
                <w:szCs w:val="16"/>
              </w:rPr>
            </w:pPr>
            <w:r w:rsidRPr="00A11721">
              <w:rPr>
                <w:rFonts w:ascii="Times New Roman" w:hAnsi="Times New Roman"/>
                <w:b/>
                <w:bCs/>
                <w:sz w:val="16"/>
                <w:szCs w:val="16"/>
              </w:rPr>
              <w:t>Scaling Factor (N1)</w:t>
            </w:r>
          </w:p>
        </w:tc>
        <w:tc>
          <w:tcPr>
            <w:tcW w:w="111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38FF1F" w14:textId="77777777" w:rsidR="0016590C" w:rsidRPr="00A11721" w:rsidRDefault="0016590C" w:rsidP="0016590C">
            <w:pPr>
              <w:keepNext/>
              <w:spacing w:after="0"/>
              <w:jc w:val="center"/>
              <w:rPr>
                <w:rFonts w:ascii="Times New Roman" w:hAnsi="Times New Roman"/>
                <w:sz w:val="16"/>
                <w:szCs w:val="16"/>
              </w:rPr>
            </w:pPr>
            <w:proofErr w:type="spellStart"/>
            <w:r w:rsidRPr="00A11721">
              <w:rPr>
                <w:rFonts w:ascii="Times New Roman" w:hAnsi="Times New Roman"/>
                <w:b/>
                <w:bCs/>
                <w:sz w:val="16"/>
                <w:szCs w:val="16"/>
              </w:rPr>
              <w:t>T</w:t>
            </w:r>
            <w:r w:rsidRPr="00A11721">
              <w:rPr>
                <w:rFonts w:ascii="Times New Roman" w:hAnsi="Times New Roman"/>
                <w:b/>
                <w:bCs/>
                <w:sz w:val="16"/>
                <w:szCs w:val="16"/>
                <w:vertAlign w:val="subscript"/>
              </w:rPr>
              <w:t>detect,NR_Intra</w:t>
            </w:r>
            <w:proofErr w:type="spellEnd"/>
            <w:r w:rsidRPr="00A11721">
              <w:rPr>
                <w:rFonts w:ascii="Times New Roman" w:hAnsi="Times New Roman"/>
                <w:b/>
                <w:bCs/>
                <w:sz w:val="16"/>
                <w:szCs w:val="16"/>
              </w:rPr>
              <w:t xml:space="preserve"> [s] (number of DRX cycles)</w:t>
            </w:r>
          </w:p>
        </w:tc>
        <w:tc>
          <w:tcPr>
            <w:tcW w:w="11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0204D" w14:textId="77777777" w:rsidR="0016590C" w:rsidRPr="00A11721" w:rsidRDefault="0016590C" w:rsidP="0016590C">
            <w:pPr>
              <w:keepNext/>
              <w:spacing w:after="0"/>
              <w:jc w:val="center"/>
              <w:rPr>
                <w:rFonts w:ascii="Times New Roman" w:hAnsi="Times New Roman"/>
                <w:sz w:val="16"/>
                <w:szCs w:val="16"/>
              </w:rPr>
            </w:pPr>
            <w:proofErr w:type="spellStart"/>
            <w:r w:rsidRPr="00A11721">
              <w:rPr>
                <w:rFonts w:ascii="Times New Roman" w:hAnsi="Times New Roman"/>
                <w:b/>
                <w:bCs/>
                <w:sz w:val="16"/>
                <w:szCs w:val="16"/>
              </w:rPr>
              <w:t>T</w:t>
            </w:r>
            <w:r w:rsidRPr="00A11721">
              <w:rPr>
                <w:rFonts w:ascii="Times New Roman" w:hAnsi="Times New Roman"/>
                <w:b/>
                <w:bCs/>
                <w:sz w:val="16"/>
                <w:szCs w:val="16"/>
                <w:vertAlign w:val="subscript"/>
              </w:rPr>
              <w:t>measure,NR_Intra</w:t>
            </w:r>
            <w:proofErr w:type="spellEnd"/>
            <w:r w:rsidRPr="00A11721">
              <w:rPr>
                <w:rFonts w:ascii="Times New Roman" w:hAnsi="Times New Roman"/>
                <w:b/>
                <w:bCs/>
                <w:sz w:val="16"/>
                <w:szCs w:val="16"/>
              </w:rPr>
              <w:t xml:space="preserve"> [s] (number of DRX cycles)</w:t>
            </w:r>
          </w:p>
        </w:tc>
        <w:tc>
          <w:tcPr>
            <w:tcW w:w="111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41438" w14:textId="77777777" w:rsidR="0016590C" w:rsidRPr="00A11721" w:rsidRDefault="0016590C" w:rsidP="0016590C">
            <w:pPr>
              <w:keepNext/>
              <w:spacing w:after="0"/>
              <w:jc w:val="center"/>
              <w:rPr>
                <w:rFonts w:ascii="Times New Roman" w:hAnsi="Times New Roman"/>
                <w:sz w:val="16"/>
                <w:szCs w:val="16"/>
                <w:vertAlign w:val="subscript"/>
              </w:rPr>
            </w:pPr>
            <w:proofErr w:type="spellStart"/>
            <w:r w:rsidRPr="00A11721">
              <w:rPr>
                <w:rFonts w:ascii="Times New Roman" w:hAnsi="Times New Roman"/>
                <w:b/>
                <w:bCs/>
                <w:sz w:val="16"/>
                <w:szCs w:val="16"/>
              </w:rPr>
              <w:t>T</w:t>
            </w:r>
            <w:r w:rsidRPr="00A11721">
              <w:rPr>
                <w:rFonts w:ascii="Times New Roman" w:hAnsi="Times New Roman"/>
                <w:b/>
                <w:bCs/>
                <w:sz w:val="16"/>
                <w:szCs w:val="16"/>
                <w:vertAlign w:val="subscript"/>
              </w:rPr>
              <w:t>evaluate,NR_Intra</w:t>
            </w:r>
            <w:proofErr w:type="spellEnd"/>
          </w:p>
          <w:p w14:paraId="50889810"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b/>
                <w:bCs/>
                <w:sz w:val="16"/>
                <w:szCs w:val="16"/>
              </w:rPr>
              <w:t>[s] (number of DRX cycles)</w:t>
            </w:r>
          </w:p>
        </w:tc>
      </w:tr>
      <w:tr w:rsidR="0016590C" w14:paraId="4A1915DF" w14:textId="77777777" w:rsidTr="0016590C">
        <w:trPr>
          <w:cantSplit/>
          <w:trHeight w:val="30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D841EB9" w14:textId="77777777" w:rsidR="0016590C" w:rsidRPr="00A11721" w:rsidRDefault="0016590C" w:rsidP="0016590C">
            <w:pPr>
              <w:spacing w:after="0"/>
              <w:rPr>
                <w:rFonts w:ascii="Times New Roman" w:eastAsiaTheme="minorHAnsi" w:hAnsi="Times New Roman"/>
                <w:sz w:val="16"/>
                <w:szCs w:val="16"/>
              </w:rPr>
            </w:pP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409B639E" w14:textId="77777777" w:rsidR="0016590C" w:rsidRPr="00A11721" w:rsidRDefault="0016590C" w:rsidP="0016590C">
            <w:pPr>
              <w:keepNext/>
              <w:spacing w:after="0"/>
              <w:jc w:val="center"/>
              <w:rPr>
                <w:rFonts w:ascii="Times New Roman" w:hAnsi="Times New Roman"/>
                <w:b/>
                <w:bCs/>
                <w:sz w:val="16"/>
                <w:szCs w:val="16"/>
              </w:rPr>
            </w:pPr>
            <w:r w:rsidRPr="00A11721">
              <w:rPr>
                <w:rFonts w:ascii="Times New Roman" w:hAnsi="Times New Roman"/>
                <w:b/>
                <w:bCs/>
                <w:sz w:val="16"/>
                <w:szCs w:val="16"/>
              </w:rPr>
              <w:t>FR1</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24497805" w14:textId="77777777" w:rsidR="0016590C" w:rsidRPr="00A11721" w:rsidRDefault="0016590C" w:rsidP="0016590C">
            <w:pPr>
              <w:keepNext/>
              <w:spacing w:after="0"/>
              <w:jc w:val="center"/>
              <w:rPr>
                <w:rFonts w:ascii="Times New Roman" w:hAnsi="Times New Roman"/>
                <w:b/>
                <w:bCs/>
                <w:sz w:val="16"/>
                <w:szCs w:val="16"/>
                <w:vertAlign w:val="superscript"/>
              </w:rPr>
            </w:pPr>
            <w:r w:rsidRPr="00A11721">
              <w:rPr>
                <w:rFonts w:ascii="Times New Roman" w:hAnsi="Times New Roman"/>
                <w:b/>
                <w:bCs/>
                <w:sz w:val="16"/>
                <w:szCs w:val="16"/>
              </w:rPr>
              <w:t>FR2</w:t>
            </w:r>
            <w:r w:rsidRPr="00A11721">
              <w:rPr>
                <w:rFonts w:ascii="Times New Roman" w:hAnsi="Times New Roman"/>
                <w:b/>
                <w:bCs/>
                <w:sz w:val="16"/>
                <w:szCs w:val="16"/>
                <w:vertAlign w:val="superscript"/>
              </w:rPr>
              <w:t>Note1</w:t>
            </w:r>
          </w:p>
        </w:tc>
        <w:tc>
          <w:tcPr>
            <w:tcW w:w="0" w:type="auto"/>
            <w:vMerge/>
            <w:tcBorders>
              <w:top w:val="single" w:sz="8" w:space="0" w:color="auto"/>
              <w:left w:val="nil"/>
              <w:bottom w:val="single" w:sz="8" w:space="0" w:color="auto"/>
              <w:right w:val="single" w:sz="8" w:space="0" w:color="auto"/>
            </w:tcBorders>
            <w:vAlign w:val="center"/>
            <w:hideMark/>
          </w:tcPr>
          <w:p w14:paraId="318E2691" w14:textId="77777777" w:rsidR="0016590C" w:rsidRPr="00A11721" w:rsidRDefault="0016590C" w:rsidP="0016590C">
            <w:pPr>
              <w:spacing w:after="0"/>
              <w:rPr>
                <w:rFonts w:ascii="Times New Roman" w:eastAsiaTheme="minorHAnsi" w:hAnsi="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356A5ED8" w14:textId="77777777" w:rsidR="0016590C" w:rsidRPr="00A11721" w:rsidRDefault="0016590C" w:rsidP="0016590C">
            <w:pPr>
              <w:spacing w:after="0"/>
              <w:rPr>
                <w:rFonts w:ascii="Times New Roman" w:eastAsiaTheme="minorHAnsi" w:hAnsi="Times New Roman"/>
                <w:sz w:val="16"/>
                <w:szCs w:val="16"/>
              </w:rPr>
            </w:pPr>
          </w:p>
        </w:tc>
        <w:tc>
          <w:tcPr>
            <w:tcW w:w="0" w:type="auto"/>
            <w:vMerge/>
            <w:tcBorders>
              <w:top w:val="single" w:sz="8" w:space="0" w:color="auto"/>
              <w:left w:val="nil"/>
              <w:bottom w:val="single" w:sz="8" w:space="0" w:color="auto"/>
              <w:right w:val="single" w:sz="8" w:space="0" w:color="auto"/>
            </w:tcBorders>
            <w:vAlign w:val="center"/>
            <w:hideMark/>
          </w:tcPr>
          <w:p w14:paraId="4CC559F6" w14:textId="77777777" w:rsidR="0016590C" w:rsidRPr="00A11721" w:rsidRDefault="0016590C" w:rsidP="0016590C">
            <w:pPr>
              <w:spacing w:after="0"/>
              <w:rPr>
                <w:rFonts w:ascii="Times New Roman" w:eastAsiaTheme="minorHAnsi" w:hAnsi="Times New Roman"/>
                <w:sz w:val="16"/>
                <w:szCs w:val="16"/>
              </w:rPr>
            </w:pPr>
          </w:p>
        </w:tc>
      </w:tr>
      <w:tr w:rsidR="0016590C" w14:paraId="1328ABD6" w14:textId="77777777" w:rsidTr="0016590C">
        <w:trPr>
          <w:cantSplit/>
          <w:trHeight w:val="273"/>
          <w:jc w:val="center"/>
        </w:trPr>
        <w:tc>
          <w:tcPr>
            <w:tcW w:w="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8EE3E"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0.32</w:t>
            </w:r>
          </w:p>
        </w:tc>
        <w:tc>
          <w:tcPr>
            <w:tcW w:w="530"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89F62"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1</w:t>
            </w: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0F574ACC"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8</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14:paraId="22DD1F92"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 xml:space="preserve">11.52 x N1 </w:t>
            </w:r>
            <w:r w:rsidRPr="00A11721">
              <w:rPr>
                <w:rFonts w:ascii="Times New Roman" w:hAnsi="Times New Roman"/>
                <w:sz w:val="16"/>
                <w:szCs w:val="16"/>
                <w:lang w:eastAsia="zh-CN"/>
              </w:rPr>
              <w:t xml:space="preserve">x M2 </w:t>
            </w:r>
            <w:r w:rsidRPr="00A11721">
              <w:rPr>
                <w:rFonts w:ascii="Times New Roman" w:hAnsi="Times New Roman"/>
                <w:sz w:val="16"/>
                <w:szCs w:val="16"/>
              </w:rPr>
              <w:t>(36 x N1</w:t>
            </w:r>
            <w:r w:rsidRPr="00A11721">
              <w:rPr>
                <w:rFonts w:ascii="Times New Roman" w:hAnsi="Times New Roman"/>
                <w:sz w:val="16"/>
                <w:szCs w:val="16"/>
                <w:lang w:eastAsia="zh-CN"/>
              </w:rPr>
              <w:t xml:space="preserve"> x </w:t>
            </w:r>
            <w:r w:rsidRPr="00180565">
              <w:rPr>
                <w:rFonts w:ascii="Times New Roman" w:hAnsi="Times New Roman"/>
                <w:sz w:val="16"/>
                <w:szCs w:val="16"/>
                <w:highlight w:val="yellow"/>
                <w:lang w:eastAsia="zh-CN"/>
              </w:rPr>
              <w:t>M2</w:t>
            </w:r>
            <w:bookmarkStart w:id="2" w:name="_GoBack"/>
            <w:bookmarkEnd w:id="2"/>
            <w:r w:rsidRPr="00A11721">
              <w:rPr>
                <w:rFonts w:ascii="Times New Roman" w:hAnsi="Times New Roman"/>
                <w:sz w:val="16"/>
                <w:szCs w:val="16"/>
              </w:rPr>
              <w:t>)</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1810E501"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 xml:space="preserve">1.28 x N1 </w:t>
            </w:r>
            <w:r w:rsidRPr="00A11721">
              <w:rPr>
                <w:rFonts w:ascii="Times New Roman" w:hAnsi="Times New Roman"/>
                <w:sz w:val="16"/>
                <w:szCs w:val="16"/>
                <w:lang w:eastAsia="zh-CN"/>
              </w:rPr>
              <w:t>x M2</w:t>
            </w:r>
            <w:r w:rsidRPr="00A11721">
              <w:rPr>
                <w:rFonts w:ascii="Times New Roman" w:hAnsi="Times New Roman"/>
                <w:snapToGrid w:val="0"/>
                <w:sz w:val="16"/>
                <w:szCs w:val="16"/>
              </w:rPr>
              <w:t xml:space="preserve"> </w:t>
            </w:r>
            <w:r w:rsidRPr="00A11721">
              <w:rPr>
                <w:rFonts w:ascii="Times New Roman" w:hAnsi="Times New Roman"/>
                <w:sz w:val="16"/>
                <w:szCs w:val="16"/>
              </w:rPr>
              <w:t>(4 x N1</w:t>
            </w:r>
            <w:r w:rsidRPr="00A11721">
              <w:rPr>
                <w:rFonts w:ascii="Times New Roman" w:hAnsi="Times New Roman"/>
                <w:sz w:val="16"/>
                <w:szCs w:val="16"/>
                <w:lang w:eastAsia="zh-CN"/>
              </w:rPr>
              <w:t xml:space="preserve"> x M2</w:t>
            </w:r>
            <w:r w:rsidRPr="00A11721">
              <w:rPr>
                <w:rFonts w:ascii="Times New Roman" w:hAnsi="Times New Roman"/>
                <w:sz w:val="16"/>
                <w:szCs w:val="16"/>
              </w:rPr>
              <w:t>)</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5B2E1D58"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 xml:space="preserve">5.12 x N1 </w:t>
            </w:r>
            <w:r w:rsidRPr="00A11721">
              <w:rPr>
                <w:rFonts w:ascii="Times New Roman" w:hAnsi="Times New Roman"/>
                <w:sz w:val="16"/>
                <w:szCs w:val="16"/>
                <w:lang w:eastAsia="zh-CN"/>
              </w:rPr>
              <w:t>x M2</w:t>
            </w:r>
            <w:r w:rsidRPr="00A11721">
              <w:rPr>
                <w:rFonts w:ascii="Times New Roman" w:hAnsi="Times New Roman"/>
                <w:snapToGrid w:val="0"/>
                <w:sz w:val="16"/>
                <w:szCs w:val="16"/>
              </w:rPr>
              <w:t xml:space="preserve"> </w:t>
            </w:r>
            <w:r w:rsidRPr="00A11721">
              <w:rPr>
                <w:rFonts w:ascii="Times New Roman" w:hAnsi="Times New Roman"/>
                <w:sz w:val="16"/>
                <w:szCs w:val="16"/>
              </w:rPr>
              <w:t>(16 x N1</w:t>
            </w:r>
            <w:r w:rsidRPr="00A11721">
              <w:rPr>
                <w:rFonts w:ascii="Times New Roman" w:hAnsi="Times New Roman"/>
                <w:sz w:val="16"/>
                <w:szCs w:val="16"/>
                <w:lang w:eastAsia="zh-CN"/>
              </w:rPr>
              <w:t xml:space="preserve"> x M2</w:t>
            </w:r>
            <w:r w:rsidRPr="00A11721">
              <w:rPr>
                <w:rFonts w:ascii="Times New Roman" w:hAnsi="Times New Roman"/>
                <w:sz w:val="16"/>
                <w:szCs w:val="16"/>
              </w:rPr>
              <w:t>)</w:t>
            </w:r>
          </w:p>
        </w:tc>
      </w:tr>
      <w:tr w:rsidR="0016590C" w14:paraId="5CCC1F98" w14:textId="77777777" w:rsidTr="0016590C">
        <w:trPr>
          <w:cantSplit/>
          <w:jc w:val="center"/>
        </w:trPr>
        <w:tc>
          <w:tcPr>
            <w:tcW w:w="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54F5AE"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0.64</w:t>
            </w:r>
          </w:p>
        </w:tc>
        <w:tc>
          <w:tcPr>
            <w:tcW w:w="0" w:type="auto"/>
            <w:vMerge/>
            <w:tcBorders>
              <w:top w:val="nil"/>
              <w:left w:val="nil"/>
              <w:bottom w:val="single" w:sz="8" w:space="0" w:color="auto"/>
              <w:right w:val="single" w:sz="8" w:space="0" w:color="auto"/>
            </w:tcBorders>
            <w:vAlign w:val="center"/>
            <w:hideMark/>
          </w:tcPr>
          <w:p w14:paraId="4861CBE2" w14:textId="77777777" w:rsidR="0016590C" w:rsidRPr="00A11721" w:rsidRDefault="0016590C" w:rsidP="0016590C">
            <w:pPr>
              <w:spacing w:after="0"/>
              <w:rPr>
                <w:rFonts w:ascii="Times New Roman" w:eastAsiaTheme="minorHAnsi" w:hAnsi="Times New Roman"/>
                <w:sz w:val="16"/>
                <w:szCs w:val="16"/>
              </w:rPr>
            </w:pP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6AD7755D"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5</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14:paraId="66BE6FF0"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17.92 x N1 (28 x N1)</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32D92D78"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1.28 x N1 (2 x N1)</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50B221EB"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5.12 x N1 (8 x N1)</w:t>
            </w:r>
          </w:p>
        </w:tc>
      </w:tr>
      <w:tr w:rsidR="0016590C" w14:paraId="364A77BD" w14:textId="77777777" w:rsidTr="0016590C">
        <w:trPr>
          <w:cantSplit/>
          <w:jc w:val="center"/>
        </w:trPr>
        <w:tc>
          <w:tcPr>
            <w:tcW w:w="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4E14A"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1.28</w:t>
            </w:r>
          </w:p>
        </w:tc>
        <w:tc>
          <w:tcPr>
            <w:tcW w:w="0" w:type="auto"/>
            <w:vMerge/>
            <w:tcBorders>
              <w:top w:val="nil"/>
              <w:left w:val="nil"/>
              <w:bottom w:val="single" w:sz="8" w:space="0" w:color="auto"/>
              <w:right w:val="single" w:sz="8" w:space="0" w:color="auto"/>
            </w:tcBorders>
            <w:vAlign w:val="center"/>
            <w:hideMark/>
          </w:tcPr>
          <w:p w14:paraId="70A389E7" w14:textId="77777777" w:rsidR="0016590C" w:rsidRPr="00A11721" w:rsidRDefault="0016590C" w:rsidP="0016590C">
            <w:pPr>
              <w:spacing w:after="0"/>
              <w:rPr>
                <w:rFonts w:ascii="Times New Roman" w:eastAsiaTheme="minorHAnsi" w:hAnsi="Times New Roman"/>
                <w:sz w:val="16"/>
                <w:szCs w:val="16"/>
              </w:rPr>
            </w:pP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4CEE61B2"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4</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14:paraId="7026D063"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32 x N1 (25 x N1)</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1C15674B"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1.28 x N1 (1 x N1)</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7C286F80"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6.4 x N1 (5 x N1)</w:t>
            </w:r>
          </w:p>
        </w:tc>
      </w:tr>
      <w:tr w:rsidR="0016590C" w14:paraId="746456E8" w14:textId="77777777" w:rsidTr="0016590C">
        <w:trPr>
          <w:cantSplit/>
          <w:jc w:val="center"/>
        </w:trPr>
        <w:tc>
          <w:tcPr>
            <w:tcW w:w="6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05969"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2.56</w:t>
            </w:r>
          </w:p>
        </w:tc>
        <w:tc>
          <w:tcPr>
            <w:tcW w:w="0" w:type="auto"/>
            <w:vMerge/>
            <w:tcBorders>
              <w:top w:val="nil"/>
              <w:left w:val="nil"/>
              <w:bottom w:val="single" w:sz="8" w:space="0" w:color="auto"/>
              <w:right w:val="single" w:sz="8" w:space="0" w:color="auto"/>
            </w:tcBorders>
            <w:vAlign w:val="center"/>
            <w:hideMark/>
          </w:tcPr>
          <w:p w14:paraId="76D3037B" w14:textId="77777777" w:rsidR="0016590C" w:rsidRPr="00A11721" w:rsidRDefault="0016590C" w:rsidP="0016590C">
            <w:pPr>
              <w:spacing w:after="0"/>
              <w:rPr>
                <w:rFonts w:ascii="Times New Roman" w:eastAsiaTheme="minorHAnsi" w:hAnsi="Times New Roman"/>
                <w:sz w:val="16"/>
                <w:szCs w:val="16"/>
              </w:rPr>
            </w:pPr>
          </w:p>
        </w:tc>
        <w:tc>
          <w:tcPr>
            <w:tcW w:w="530" w:type="pct"/>
            <w:tcBorders>
              <w:top w:val="nil"/>
              <w:left w:val="nil"/>
              <w:bottom w:val="single" w:sz="8" w:space="0" w:color="auto"/>
              <w:right w:val="single" w:sz="8" w:space="0" w:color="auto"/>
            </w:tcBorders>
            <w:tcMar>
              <w:top w:w="0" w:type="dxa"/>
              <w:left w:w="108" w:type="dxa"/>
              <w:bottom w:w="0" w:type="dxa"/>
              <w:right w:w="108" w:type="dxa"/>
            </w:tcMar>
            <w:hideMark/>
          </w:tcPr>
          <w:p w14:paraId="18398CEF" w14:textId="77777777" w:rsidR="0016590C" w:rsidRPr="00A11721" w:rsidRDefault="0016590C" w:rsidP="0016590C">
            <w:pPr>
              <w:keepNext/>
              <w:spacing w:after="0"/>
              <w:jc w:val="center"/>
              <w:rPr>
                <w:rFonts w:ascii="Times New Roman" w:hAnsi="Times New Roman"/>
                <w:sz w:val="16"/>
                <w:szCs w:val="16"/>
                <w:lang w:eastAsia="zh-CN"/>
              </w:rPr>
            </w:pPr>
            <w:r w:rsidRPr="00A11721">
              <w:rPr>
                <w:rFonts w:ascii="Times New Roman" w:hAnsi="Times New Roman"/>
                <w:sz w:val="16"/>
                <w:szCs w:val="16"/>
                <w:lang w:eastAsia="zh-CN"/>
              </w:rPr>
              <w:t>3</w:t>
            </w:r>
          </w:p>
        </w:tc>
        <w:tc>
          <w:tcPr>
            <w:tcW w:w="1111" w:type="pct"/>
            <w:tcBorders>
              <w:top w:val="nil"/>
              <w:left w:val="nil"/>
              <w:bottom w:val="single" w:sz="8" w:space="0" w:color="auto"/>
              <w:right w:val="single" w:sz="8" w:space="0" w:color="auto"/>
            </w:tcBorders>
            <w:tcMar>
              <w:top w:w="0" w:type="dxa"/>
              <w:left w:w="108" w:type="dxa"/>
              <w:bottom w:w="0" w:type="dxa"/>
              <w:right w:w="108" w:type="dxa"/>
            </w:tcMar>
            <w:hideMark/>
          </w:tcPr>
          <w:p w14:paraId="72E05B0D"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lang w:eastAsia="zh-CN"/>
              </w:rPr>
              <w:t>58.88</w:t>
            </w:r>
            <w:r w:rsidRPr="00A11721">
              <w:rPr>
                <w:rFonts w:ascii="Times New Roman" w:hAnsi="Times New Roman"/>
                <w:sz w:val="16"/>
                <w:szCs w:val="16"/>
              </w:rPr>
              <w:t xml:space="preserve"> x N1 (23 x N1)</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241204B3"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2.56 x N1 (1 x N1)</w:t>
            </w:r>
          </w:p>
        </w:tc>
        <w:tc>
          <w:tcPr>
            <w:tcW w:w="1112" w:type="pct"/>
            <w:tcBorders>
              <w:top w:val="nil"/>
              <w:left w:val="nil"/>
              <w:bottom w:val="single" w:sz="8" w:space="0" w:color="auto"/>
              <w:right w:val="single" w:sz="8" w:space="0" w:color="auto"/>
            </w:tcBorders>
            <w:tcMar>
              <w:top w:w="0" w:type="dxa"/>
              <w:left w:w="108" w:type="dxa"/>
              <w:bottom w:w="0" w:type="dxa"/>
              <w:right w:w="108" w:type="dxa"/>
            </w:tcMar>
            <w:hideMark/>
          </w:tcPr>
          <w:p w14:paraId="624B0DFC" w14:textId="77777777" w:rsidR="0016590C" w:rsidRPr="00A11721" w:rsidRDefault="0016590C" w:rsidP="0016590C">
            <w:pPr>
              <w:keepNext/>
              <w:spacing w:after="0"/>
              <w:jc w:val="center"/>
              <w:rPr>
                <w:rFonts w:ascii="Times New Roman" w:hAnsi="Times New Roman"/>
                <w:sz w:val="16"/>
                <w:szCs w:val="16"/>
              </w:rPr>
            </w:pPr>
            <w:r w:rsidRPr="00A11721">
              <w:rPr>
                <w:rFonts w:ascii="Times New Roman" w:hAnsi="Times New Roman"/>
                <w:sz w:val="16"/>
                <w:szCs w:val="16"/>
              </w:rPr>
              <w:t>7.68 x N1 (3 x N1)</w:t>
            </w:r>
          </w:p>
        </w:tc>
      </w:tr>
      <w:tr w:rsidR="0016590C" w14:paraId="6E5254D2" w14:textId="77777777" w:rsidTr="0016590C">
        <w:trPr>
          <w:cantSplit/>
          <w:jc w:val="center"/>
        </w:trPr>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6704BB" w14:textId="77777777" w:rsidR="0016590C" w:rsidRPr="00A11721" w:rsidRDefault="0016590C" w:rsidP="0016590C">
            <w:pPr>
              <w:keepNext/>
              <w:spacing w:after="0"/>
              <w:ind w:left="851" w:hanging="851"/>
              <w:rPr>
                <w:rFonts w:ascii="Times New Roman" w:hAnsi="Times New Roman"/>
                <w:snapToGrid w:val="0"/>
                <w:color w:val="FFFFFF"/>
                <w:sz w:val="16"/>
                <w:szCs w:val="16"/>
                <w:lang w:eastAsia="zh-CN"/>
              </w:rPr>
            </w:pPr>
            <w:r w:rsidRPr="00A11721">
              <w:rPr>
                <w:rFonts w:ascii="Times New Roman" w:hAnsi="Times New Roman"/>
                <w:snapToGrid w:val="0"/>
                <w:sz w:val="16"/>
                <w:szCs w:val="16"/>
                <w:lang w:eastAsia="zh-CN"/>
              </w:rPr>
              <w:t>Note 1</w:t>
            </w:r>
            <w:r w:rsidRPr="00A11721">
              <w:rPr>
                <w:rFonts w:ascii="Times New Roman" w:hAnsi="Times New Roman"/>
                <w:sz w:val="16"/>
                <w:szCs w:val="16"/>
              </w:rPr>
              <w:t xml:space="preserve">:     Applies for UE supporting power class </w:t>
            </w:r>
            <w:r w:rsidRPr="00A11721">
              <w:rPr>
                <w:rFonts w:ascii="Times New Roman" w:hAnsi="Times New Roman"/>
                <w:sz w:val="16"/>
                <w:szCs w:val="16"/>
                <w:lang w:eastAsia="zh-CN"/>
              </w:rPr>
              <w:t>2&amp;3&amp;4</w:t>
            </w:r>
            <w:r w:rsidRPr="00A11721">
              <w:rPr>
                <w:rFonts w:ascii="Times New Roman" w:hAnsi="Times New Roman"/>
                <w:sz w:val="16"/>
                <w:szCs w:val="16"/>
              </w:rPr>
              <w:t>. For UE supporting power class 1, N1 = 8 for all DRX cycle length.</w:t>
            </w:r>
          </w:p>
          <w:p w14:paraId="332D5CEA" w14:textId="77777777" w:rsidR="0016590C" w:rsidRPr="00A11721" w:rsidRDefault="0016590C" w:rsidP="0016590C">
            <w:pPr>
              <w:keepNext/>
              <w:spacing w:after="0"/>
              <w:ind w:left="851" w:hanging="851"/>
              <w:rPr>
                <w:rFonts w:ascii="Times New Roman" w:hAnsi="Times New Roman"/>
                <w:sz w:val="16"/>
                <w:szCs w:val="16"/>
              </w:rPr>
            </w:pPr>
            <w:r w:rsidRPr="00A11721">
              <w:rPr>
                <w:rFonts w:ascii="Times New Roman" w:hAnsi="Times New Roman"/>
                <w:snapToGrid w:val="0"/>
                <w:sz w:val="16"/>
                <w:szCs w:val="16"/>
                <w:lang w:eastAsia="zh-CN"/>
              </w:rPr>
              <w:t>Note 2:</w:t>
            </w:r>
            <w:r w:rsidRPr="00A11721">
              <w:rPr>
                <w:rFonts w:ascii="Times New Roman" w:hAnsi="Times New Roman"/>
                <w:sz w:val="16"/>
                <w:szCs w:val="16"/>
              </w:rPr>
              <w:t xml:space="preserve">     </w:t>
            </w:r>
            <w:r w:rsidRPr="00180565">
              <w:rPr>
                <w:rFonts w:ascii="Times New Roman" w:hAnsi="Times New Roman"/>
                <w:snapToGrid w:val="0"/>
                <w:sz w:val="16"/>
                <w:szCs w:val="16"/>
                <w:highlight w:val="yellow"/>
                <w:lang w:eastAsia="zh-CN"/>
              </w:rPr>
              <w:t>M2 = 1.5 if SMTC periodicity</w:t>
            </w:r>
            <w:r w:rsidRPr="00180565">
              <w:rPr>
                <w:rFonts w:ascii="Times New Roman" w:hAnsi="Times New Roman"/>
                <w:sz w:val="16"/>
                <w:szCs w:val="16"/>
                <w:highlight w:val="yellow"/>
              </w:rPr>
              <w:t xml:space="preserve"> </w:t>
            </w:r>
            <w:r w:rsidRPr="00180565">
              <w:rPr>
                <w:rFonts w:ascii="Times New Roman" w:hAnsi="Times New Roman"/>
                <w:snapToGrid w:val="0"/>
                <w:sz w:val="16"/>
                <w:szCs w:val="16"/>
                <w:highlight w:val="yellow"/>
                <w:lang w:eastAsia="zh-CN"/>
              </w:rPr>
              <w:t xml:space="preserve">of measured intra-frequency cell &gt; 20 </w:t>
            </w:r>
            <w:proofErr w:type="spellStart"/>
            <w:r w:rsidRPr="00180565">
              <w:rPr>
                <w:rFonts w:ascii="Times New Roman" w:hAnsi="Times New Roman"/>
                <w:snapToGrid w:val="0"/>
                <w:sz w:val="16"/>
                <w:szCs w:val="16"/>
                <w:highlight w:val="yellow"/>
                <w:lang w:eastAsia="zh-CN"/>
              </w:rPr>
              <w:t>ms</w:t>
            </w:r>
            <w:proofErr w:type="spellEnd"/>
            <w:r w:rsidRPr="00180565">
              <w:rPr>
                <w:rFonts w:ascii="Times New Roman" w:hAnsi="Times New Roman"/>
                <w:snapToGrid w:val="0"/>
                <w:sz w:val="16"/>
                <w:szCs w:val="16"/>
                <w:highlight w:val="yellow"/>
                <w:lang w:eastAsia="zh-CN"/>
              </w:rPr>
              <w:t>; otherwise M2=1.</w:t>
            </w:r>
          </w:p>
        </w:tc>
      </w:tr>
    </w:tbl>
    <w:p w14:paraId="30263E8D" w14:textId="77777777" w:rsidR="00394450" w:rsidRPr="00394450" w:rsidRDefault="00394450" w:rsidP="00394450">
      <w:pPr>
        <w:rPr>
          <w:lang w:val="en-GB" w:eastAsia="zh-CN"/>
        </w:rPr>
      </w:pPr>
    </w:p>
    <w:p w14:paraId="07976005" w14:textId="4BE8C0AF" w:rsidR="00394450" w:rsidRPr="00573249" w:rsidRDefault="00394450" w:rsidP="00394450">
      <w:pPr>
        <w:rPr>
          <w:lang w:val="en-GB" w:eastAsia="zh-CN"/>
        </w:rPr>
      </w:pPr>
      <w:r>
        <w:rPr>
          <w:b/>
          <w:lang w:val="en-GB" w:eastAsia="zh-CN"/>
        </w:rPr>
        <w:t>Observation</w:t>
      </w:r>
      <w:r w:rsidRPr="00573249">
        <w:rPr>
          <w:b/>
          <w:lang w:val="en-GB" w:eastAsia="zh-CN"/>
        </w:rPr>
        <w:t xml:space="preserve"> 1</w:t>
      </w:r>
      <w:r>
        <w:rPr>
          <w:lang w:val="en-GB" w:eastAsia="zh-CN"/>
        </w:rPr>
        <w:t xml:space="preserve">: </w:t>
      </w:r>
      <w:r w:rsidR="00867DAD">
        <w:rPr>
          <w:lang w:val="en-GB" w:eastAsia="zh-CN"/>
        </w:rPr>
        <w:t>The i</w:t>
      </w:r>
      <w:r w:rsidR="00492DC6">
        <w:rPr>
          <w:lang w:val="en-GB" w:eastAsia="zh-CN"/>
        </w:rPr>
        <w:t xml:space="preserve">mpact of </w:t>
      </w:r>
      <w:r w:rsidR="00500EF4">
        <w:rPr>
          <w:lang w:val="en-GB" w:eastAsia="zh-CN"/>
        </w:rPr>
        <w:t xml:space="preserve">a </w:t>
      </w:r>
      <w:r w:rsidR="00492DC6">
        <w:rPr>
          <w:lang w:val="en-GB" w:eastAsia="zh-CN"/>
        </w:rPr>
        <w:t>2</w:t>
      </w:r>
      <w:r w:rsidR="00492DC6" w:rsidRPr="00492DC6">
        <w:rPr>
          <w:vertAlign w:val="superscript"/>
          <w:lang w:val="en-GB" w:eastAsia="zh-CN"/>
        </w:rPr>
        <w:t>nd</w:t>
      </w:r>
      <w:r w:rsidR="00492DC6">
        <w:rPr>
          <w:lang w:val="en-GB" w:eastAsia="zh-CN"/>
        </w:rPr>
        <w:t xml:space="preserve"> </w:t>
      </w:r>
      <w:r w:rsidR="00500EF4">
        <w:rPr>
          <w:lang w:val="en-GB" w:eastAsia="zh-CN"/>
        </w:rPr>
        <w:t>SBB periodicity in Idle/Inactive mode</w:t>
      </w:r>
      <w:r w:rsidR="00867DAD">
        <w:rPr>
          <w:lang w:val="en-GB" w:eastAsia="zh-CN"/>
        </w:rPr>
        <w:t xml:space="preserve"> on legacy UE</w:t>
      </w:r>
      <w:r w:rsidR="00500EF4">
        <w:rPr>
          <w:lang w:val="en-GB" w:eastAsia="zh-CN"/>
        </w:rPr>
        <w:t xml:space="preserve"> is limited. </w:t>
      </w:r>
    </w:p>
    <w:p w14:paraId="11621515" w14:textId="17A5126E" w:rsidR="00B43C3C" w:rsidRPr="00500EF4" w:rsidRDefault="00500EF4" w:rsidP="00B43C3C">
      <w:pPr>
        <w:rPr>
          <w:b/>
          <w:u w:val="single"/>
          <w:lang w:val="en-GB" w:eastAsia="zh-CN"/>
        </w:rPr>
      </w:pPr>
      <w:r w:rsidRPr="00500EF4">
        <w:rPr>
          <w:b/>
          <w:u w:val="single"/>
          <w:lang w:val="en-GB" w:eastAsia="zh-CN"/>
        </w:rPr>
        <w:t>Alternative deployment</w:t>
      </w:r>
    </w:p>
    <w:p w14:paraId="72F5A6DD" w14:textId="7A255534" w:rsidR="00555709" w:rsidRPr="00DD6E04" w:rsidRDefault="00500EF4" w:rsidP="00AB7EDD">
      <w:pPr>
        <w:rPr>
          <w:lang w:val="en-GB" w:eastAsia="zh-CN"/>
        </w:rPr>
      </w:pPr>
      <w:r w:rsidRPr="00DD6E04">
        <w:rPr>
          <w:lang w:val="en-GB" w:eastAsia="zh-CN"/>
        </w:rPr>
        <w:t xml:space="preserve">In </w:t>
      </w:r>
      <w:r w:rsidR="008E1461" w:rsidRPr="00DD6E04">
        <w:rPr>
          <w:lang w:val="en-GB" w:eastAsia="zh-CN"/>
        </w:rPr>
        <w:t xml:space="preserve">[3, 4] it was proposed to configure a long SSB periodicity of 160 </w:t>
      </w:r>
      <w:proofErr w:type="spellStart"/>
      <w:r w:rsidR="008E1461" w:rsidRPr="00DD6E04">
        <w:rPr>
          <w:lang w:val="en-GB" w:eastAsia="zh-CN"/>
        </w:rPr>
        <w:t>ms</w:t>
      </w:r>
      <w:proofErr w:type="spellEnd"/>
      <w:r w:rsidR="008E1461" w:rsidRPr="00DD6E04">
        <w:rPr>
          <w:lang w:val="en-GB" w:eastAsia="zh-CN"/>
        </w:rPr>
        <w:t>, to avoid any impact on legacy UE, and indicate cells with a shorter SSB periodicity</w:t>
      </w:r>
      <w:r w:rsidR="001517EC" w:rsidRPr="00DD6E04">
        <w:rPr>
          <w:lang w:val="en-GB" w:eastAsia="zh-CN"/>
        </w:rPr>
        <w:t xml:space="preserve"> with a second SSB periodicity</w:t>
      </w:r>
      <w:r w:rsidR="008E1461" w:rsidRPr="00DD6E04">
        <w:rPr>
          <w:lang w:val="en-GB" w:eastAsia="zh-CN"/>
        </w:rPr>
        <w:t xml:space="preserve"> (i.e. the normal/default cells with 20 </w:t>
      </w:r>
      <w:proofErr w:type="spellStart"/>
      <w:r w:rsidR="008E1461" w:rsidRPr="00DD6E04">
        <w:rPr>
          <w:lang w:val="en-GB" w:eastAsia="zh-CN"/>
        </w:rPr>
        <w:t>ms</w:t>
      </w:r>
      <w:proofErr w:type="spellEnd"/>
      <w:r w:rsidR="00AB7EDD" w:rsidRPr="00DD6E04">
        <w:rPr>
          <w:lang w:val="en-GB" w:eastAsia="zh-CN"/>
        </w:rPr>
        <w:t xml:space="preserve"> SSB periodicity</w:t>
      </w:r>
      <w:r w:rsidR="008E1461" w:rsidRPr="00DD6E04">
        <w:rPr>
          <w:lang w:val="en-GB" w:eastAsia="zh-CN"/>
        </w:rPr>
        <w:t>)</w:t>
      </w:r>
      <w:r w:rsidR="00C45952" w:rsidRPr="00DD6E04">
        <w:rPr>
          <w:lang w:val="en-GB" w:eastAsia="zh-CN"/>
        </w:rPr>
        <w:t xml:space="preserve">. In such case both legacy and REL-16 UEs would be aware of the </w:t>
      </w:r>
      <w:r w:rsidR="001F6F96" w:rsidRPr="00DD6E04">
        <w:rPr>
          <w:lang w:val="en-GB" w:eastAsia="zh-CN"/>
        </w:rPr>
        <w:t xml:space="preserve">cells with long periodicity. However </w:t>
      </w:r>
      <w:r w:rsidR="009A2A28" w:rsidRPr="00DD6E04">
        <w:rPr>
          <w:lang w:val="en-GB" w:eastAsia="zh-CN"/>
        </w:rPr>
        <w:t>in such case there is little benefit</w:t>
      </w:r>
      <w:r w:rsidR="001517EC" w:rsidRPr="00DD6E04">
        <w:rPr>
          <w:lang w:val="en-GB" w:eastAsia="zh-CN"/>
        </w:rPr>
        <w:t>/incentive</w:t>
      </w:r>
      <w:r w:rsidR="006E0534" w:rsidRPr="00DD6E04">
        <w:rPr>
          <w:lang w:val="en-GB" w:eastAsia="zh-CN"/>
        </w:rPr>
        <w:t xml:space="preserve"> when considering minimum requirements</w:t>
      </w:r>
      <w:r w:rsidR="009A2A28" w:rsidRPr="00DD6E04">
        <w:rPr>
          <w:lang w:val="en-GB" w:eastAsia="zh-CN"/>
        </w:rPr>
        <w:t xml:space="preserve"> to indicate to REL-16 UEs the cells with “normal” periodicity</w:t>
      </w:r>
      <w:r w:rsidR="00D31E40" w:rsidRPr="00DD6E04">
        <w:rPr>
          <w:lang w:val="en-GB" w:eastAsia="zh-CN"/>
        </w:rPr>
        <w:t xml:space="preserve"> using the 2</w:t>
      </w:r>
      <w:r w:rsidR="00D31E40" w:rsidRPr="00DD6E04">
        <w:rPr>
          <w:vertAlign w:val="superscript"/>
          <w:lang w:val="en-GB" w:eastAsia="zh-CN"/>
        </w:rPr>
        <w:t>nd</w:t>
      </w:r>
      <w:r w:rsidR="00D31E40" w:rsidRPr="00DD6E04">
        <w:rPr>
          <w:lang w:val="en-GB" w:eastAsia="zh-CN"/>
        </w:rPr>
        <w:t xml:space="preserve"> SSB periodicity</w:t>
      </w:r>
      <w:r w:rsidR="00100E24" w:rsidRPr="00DD6E04">
        <w:rPr>
          <w:lang w:val="en-GB" w:eastAsia="zh-CN"/>
        </w:rPr>
        <w:t xml:space="preserve">, i.e. </w:t>
      </w:r>
      <w:r w:rsidR="006E0534" w:rsidRPr="00DD6E04">
        <w:rPr>
          <w:lang w:val="en-GB" w:eastAsia="zh-CN"/>
        </w:rPr>
        <w:t xml:space="preserve">to ensure </w:t>
      </w:r>
      <w:r w:rsidR="00100E24" w:rsidRPr="00DD6E04">
        <w:rPr>
          <w:lang w:val="en-GB" w:eastAsia="zh-CN"/>
        </w:rPr>
        <w:t xml:space="preserve">REL-16 could potentially detect the “normal” cells more quickly. </w:t>
      </w:r>
      <w:r w:rsidR="006E0534" w:rsidRPr="00DD6E04">
        <w:rPr>
          <w:lang w:val="en-GB" w:eastAsia="zh-CN"/>
        </w:rPr>
        <w:t>A</w:t>
      </w:r>
      <w:r w:rsidR="00100E24" w:rsidRPr="00DD6E04">
        <w:rPr>
          <w:lang w:val="en-GB" w:eastAsia="zh-CN"/>
        </w:rPr>
        <w:t>s explained above there is</w:t>
      </w:r>
      <w:r w:rsidR="00245AC8" w:rsidRPr="00DD6E04">
        <w:rPr>
          <w:lang w:val="en-GB" w:eastAsia="zh-CN"/>
        </w:rPr>
        <w:t xml:space="preserve"> only a small</w:t>
      </w:r>
      <w:r w:rsidR="00100E24" w:rsidRPr="00DD6E04">
        <w:rPr>
          <w:lang w:val="en-GB" w:eastAsia="zh-CN"/>
        </w:rPr>
        <w:t xml:space="preserve"> impact on the </w:t>
      </w:r>
      <w:r w:rsidR="00245AC8" w:rsidRPr="00DD6E04">
        <w:rPr>
          <w:lang w:val="en-GB" w:eastAsia="zh-CN"/>
        </w:rPr>
        <w:t>intra-frequency detection latency (</w:t>
      </w:r>
      <w:proofErr w:type="spellStart"/>
      <w:r w:rsidR="001517EC" w:rsidRPr="00DD6E04">
        <w:rPr>
          <w:rFonts w:ascii="Times New Roman" w:hAnsi="Times New Roman"/>
          <w:b/>
          <w:bCs/>
          <w:sz w:val="16"/>
          <w:szCs w:val="16"/>
        </w:rPr>
        <w:t>T</w:t>
      </w:r>
      <w:r w:rsidR="001517EC" w:rsidRPr="00DD6E04">
        <w:rPr>
          <w:rFonts w:ascii="Times New Roman" w:hAnsi="Times New Roman"/>
          <w:b/>
          <w:bCs/>
          <w:sz w:val="16"/>
          <w:szCs w:val="16"/>
          <w:vertAlign w:val="subscript"/>
        </w:rPr>
        <w:t>detect,NR_Intra</w:t>
      </w:r>
      <w:proofErr w:type="spellEnd"/>
      <w:r w:rsidR="00245AC8" w:rsidRPr="00DD6E04">
        <w:rPr>
          <w:lang w:val="en-GB" w:eastAsia="zh-CN"/>
        </w:rPr>
        <w:t>)</w:t>
      </w:r>
      <w:r w:rsidR="00555709" w:rsidRPr="00DD6E04">
        <w:rPr>
          <w:lang w:val="en-GB" w:eastAsia="zh-CN"/>
        </w:rPr>
        <w:t xml:space="preserve">: </w:t>
      </w:r>
    </w:p>
    <w:p w14:paraId="1089A65E" w14:textId="1C1B416D" w:rsidR="006E0534" w:rsidRPr="00DD6E04" w:rsidRDefault="00555709" w:rsidP="00555709">
      <w:pPr>
        <w:rPr>
          <w:lang w:val="en-GB" w:eastAsia="zh-CN"/>
        </w:rPr>
      </w:pPr>
      <w:r w:rsidRPr="00DD6E04">
        <w:rPr>
          <w:b/>
          <w:lang w:val="en-GB" w:eastAsia="zh-CN"/>
        </w:rPr>
        <w:t>Observation 2</w:t>
      </w:r>
      <w:r w:rsidRPr="00DD6E04">
        <w:rPr>
          <w:lang w:val="en-GB" w:eastAsia="zh-CN"/>
        </w:rPr>
        <w:t xml:space="preserve">: There is little benefit to </w:t>
      </w:r>
      <w:r w:rsidR="001A4584" w:rsidRPr="00DD6E04">
        <w:rPr>
          <w:lang w:val="en-GB" w:eastAsia="zh-CN"/>
        </w:rPr>
        <w:t>configure a 2</w:t>
      </w:r>
      <w:r w:rsidR="001A4584" w:rsidRPr="00DD6E04">
        <w:rPr>
          <w:vertAlign w:val="superscript"/>
          <w:lang w:val="en-GB" w:eastAsia="zh-CN"/>
        </w:rPr>
        <w:t>nd</w:t>
      </w:r>
      <w:r w:rsidR="001A4584" w:rsidRPr="00DD6E04">
        <w:rPr>
          <w:lang w:val="en-GB" w:eastAsia="zh-CN"/>
        </w:rPr>
        <w:t xml:space="preserve"> SSB periodicity for “normal” cells</w:t>
      </w:r>
      <w:r w:rsidR="00CC2B5E" w:rsidRPr="00DD6E04">
        <w:rPr>
          <w:lang w:val="en-GB" w:eastAsia="zh-CN"/>
        </w:rPr>
        <w:t xml:space="preserve"> (e.g. with 20 </w:t>
      </w:r>
      <w:proofErr w:type="spellStart"/>
      <w:r w:rsidR="00CC2B5E" w:rsidRPr="00DD6E04">
        <w:rPr>
          <w:lang w:val="en-GB" w:eastAsia="zh-CN"/>
        </w:rPr>
        <w:t>ms</w:t>
      </w:r>
      <w:proofErr w:type="spellEnd"/>
      <w:r w:rsidR="00CC2B5E" w:rsidRPr="00DD6E04">
        <w:rPr>
          <w:lang w:val="en-GB" w:eastAsia="zh-CN"/>
        </w:rPr>
        <w:t xml:space="preserve"> SSB periodicity)</w:t>
      </w:r>
      <w:r w:rsidR="006E0534" w:rsidRPr="00DD6E04">
        <w:rPr>
          <w:lang w:val="en-GB" w:eastAsia="zh-CN"/>
        </w:rPr>
        <w:t>, considering RAN4 minimum requirements</w:t>
      </w:r>
      <w:r w:rsidRPr="00DD6E04">
        <w:rPr>
          <w:lang w:val="en-GB" w:eastAsia="zh-CN"/>
        </w:rPr>
        <w:t>.</w:t>
      </w:r>
    </w:p>
    <w:p w14:paraId="542F4DE4" w14:textId="5414B4DA" w:rsidR="001517EC" w:rsidRPr="00DD6E04" w:rsidRDefault="00555709" w:rsidP="00AB7EDD">
      <w:pPr>
        <w:rPr>
          <w:lang w:val="en-GB" w:eastAsia="zh-CN"/>
        </w:rPr>
      </w:pPr>
      <w:r w:rsidRPr="00DD6E04">
        <w:rPr>
          <w:lang w:val="en-GB" w:eastAsia="zh-CN"/>
        </w:rPr>
        <w:t>Furthermore</w:t>
      </w:r>
      <w:r w:rsidR="00D31E40" w:rsidRPr="00DD6E04">
        <w:rPr>
          <w:lang w:val="en-GB" w:eastAsia="zh-CN"/>
        </w:rPr>
        <w:t xml:space="preserve"> the NW should not be required to configure </w:t>
      </w:r>
      <w:r w:rsidR="007B4955" w:rsidRPr="00DD6E04">
        <w:rPr>
          <w:lang w:val="en-GB" w:eastAsia="zh-CN"/>
        </w:rPr>
        <w:t xml:space="preserve">a </w:t>
      </w:r>
      <w:proofErr w:type="spellStart"/>
      <w:r w:rsidR="007B4955" w:rsidRPr="00DD6E04">
        <w:rPr>
          <w:i/>
          <w:lang w:val="en-GB" w:eastAsia="zh-CN"/>
        </w:rPr>
        <w:t>pci</w:t>
      </w:r>
      <w:proofErr w:type="spellEnd"/>
      <w:r w:rsidR="007B4955" w:rsidRPr="00DD6E04">
        <w:rPr>
          <w:i/>
          <w:lang w:val="en-GB" w:eastAsia="zh-CN"/>
        </w:rPr>
        <w:t>-List</w:t>
      </w:r>
      <w:r w:rsidR="007B4955" w:rsidRPr="00DD6E04">
        <w:rPr>
          <w:lang w:val="en-GB" w:eastAsia="zh-CN"/>
        </w:rPr>
        <w:t xml:space="preserve"> for </w:t>
      </w:r>
      <w:r w:rsidRPr="00DD6E04">
        <w:rPr>
          <w:lang w:val="en-GB" w:eastAsia="zh-CN"/>
        </w:rPr>
        <w:t xml:space="preserve">the normal cell deployment: </w:t>
      </w:r>
    </w:p>
    <w:p w14:paraId="4013E402" w14:textId="6380DE19" w:rsidR="001A4584" w:rsidRPr="00DD6E04" w:rsidRDefault="001A4584" w:rsidP="001A4584">
      <w:pPr>
        <w:rPr>
          <w:lang w:val="en-GB" w:eastAsia="zh-CN"/>
        </w:rPr>
      </w:pPr>
      <w:r w:rsidRPr="00DD6E04">
        <w:rPr>
          <w:b/>
          <w:lang w:val="en-GB" w:eastAsia="zh-CN"/>
        </w:rPr>
        <w:t>Observation 3</w:t>
      </w:r>
      <w:r w:rsidRPr="00DD6E04">
        <w:rPr>
          <w:lang w:val="en-GB" w:eastAsia="zh-CN"/>
        </w:rPr>
        <w:t xml:space="preserve">: The NW should not be required to configure a </w:t>
      </w:r>
      <w:proofErr w:type="spellStart"/>
      <w:r w:rsidRPr="00DD6E04">
        <w:rPr>
          <w:i/>
          <w:lang w:val="en-GB" w:eastAsia="zh-CN"/>
        </w:rPr>
        <w:t>pci</w:t>
      </w:r>
      <w:proofErr w:type="spellEnd"/>
      <w:r w:rsidRPr="00DD6E04">
        <w:rPr>
          <w:i/>
          <w:lang w:val="en-GB" w:eastAsia="zh-CN"/>
        </w:rPr>
        <w:t>-List</w:t>
      </w:r>
      <w:r w:rsidRPr="00DD6E04">
        <w:rPr>
          <w:lang w:val="en-GB" w:eastAsia="zh-CN"/>
        </w:rPr>
        <w:t xml:space="preserve"> for the normal cell deployment</w:t>
      </w:r>
      <w:r w:rsidR="00F60646" w:rsidRPr="00DD6E04">
        <w:rPr>
          <w:lang w:val="en-GB" w:eastAsia="zh-CN"/>
        </w:rPr>
        <w:t>.</w:t>
      </w:r>
    </w:p>
    <w:p w14:paraId="20FF60D3" w14:textId="149CE215" w:rsidR="00AB7EDD" w:rsidRPr="00DD6E04" w:rsidRDefault="009B07CF" w:rsidP="00B43C3C">
      <w:pPr>
        <w:rPr>
          <w:b/>
          <w:u w:val="single"/>
          <w:lang w:val="en-GB" w:eastAsia="zh-CN"/>
        </w:rPr>
      </w:pPr>
      <w:r w:rsidRPr="00DD6E04">
        <w:rPr>
          <w:b/>
          <w:u w:val="single"/>
          <w:lang w:val="en-GB" w:eastAsia="zh-CN"/>
        </w:rPr>
        <w:t>Proposed way forward</w:t>
      </w:r>
    </w:p>
    <w:p w14:paraId="0D5F8179" w14:textId="77777777" w:rsidR="001C448C" w:rsidRPr="00DD6E04" w:rsidRDefault="001C448C" w:rsidP="001C448C">
      <w:pPr>
        <w:rPr>
          <w:lang w:val="en-GB" w:eastAsia="zh-CN"/>
        </w:rPr>
      </w:pPr>
      <w:r w:rsidRPr="00DD6E04">
        <w:rPr>
          <w:lang w:val="en-GB" w:eastAsia="zh-CN"/>
        </w:rPr>
        <w:t>It should be noted that RAN4 only specifies minimum requirements and it is still beneficial for a release 16 UE implementation to be aware that some neighbour cells may operate with a longer SMTC than the serving cell. This would allow power consumption optimisations, and may enable better UE performance in practice, irrespective of the minimum requirements.</w:t>
      </w:r>
    </w:p>
    <w:p w14:paraId="619A01F0" w14:textId="2C649A66" w:rsidR="009B07CF" w:rsidRPr="00B43C3C" w:rsidRDefault="009B07CF" w:rsidP="00B43C3C">
      <w:pPr>
        <w:rPr>
          <w:lang w:val="en-GB" w:eastAsia="zh-CN"/>
        </w:rPr>
      </w:pPr>
      <w:r w:rsidRPr="00DD6E04">
        <w:rPr>
          <w:lang w:val="en-GB" w:eastAsia="zh-CN"/>
        </w:rPr>
        <w:t xml:space="preserve">Based on the positive feedback from RAN4 that there is minor impact on RAN4 core requirements, and this enhancements can be introduced in REL-16 for intra-/inter-frequency, it is proposed to </w:t>
      </w:r>
      <w:r w:rsidR="003C3FF0" w:rsidRPr="00DD6E04">
        <w:rPr>
          <w:lang w:val="en-GB" w:eastAsia="zh-CN"/>
        </w:rPr>
        <w:t>introduce a 2</w:t>
      </w:r>
      <w:r w:rsidR="003C3FF0" w:rsidRPr="00DD6E04">
        <w:rPr>
          <w:vertAlign w:val="superscript"/>
          <w:lang w:val="en-GB" w:eastAsia="zh-CN"/>
        </w:rPr>
        <w:t>nd</w:t>
      </w:r>
      <w:r w:rsidR="003C3FF0" w:rsidRPr="00DD6E04">
        <w:rPr>
          <w:lang w:val="en-GB" w:eastAsia="zh-CN"/>
        </w:rPr>
        <w:t xml:space="preserve"> SSB periodicity as proposed</w:t>
      </w:r>
      <w:r w:rsidR="003C3FF0">
        <w:rPr>
          <w:lang w:val="en-GB" w:eastAsia="zh-CN"/>
        </w:rPr>
        <w:t xml:space="preserve"> in [1, 2]: </w:t>
      </w:r>
    </w:p>
    <w:p w14:paraId="25A3C1FA" w14:textId="11878654" w:rsidR="00573249" w:rsidRPr="00573249" w:rsidRDefault="00573249" w:rsidP="00573249">
      <w:pPr>
        <w:rPr>
          <w:lang w:val="en-GB" w:eastAsia="zh-CN"/>
        </w:rPr>
      </w:pPr>
      <w:r w:rsidRPr="00573249">
        <w:rPr>
          <w:b/>
          <w:lang w:val="en-GB" w:eastAsia="zh-CN"/>
        </w:rPr>
        <w:lastRenderedPageBreak/>
        <w:t>Proposal 1</w:t>
      </w:r>
      <w:r>
        <w:rPr>
          <w:lang w:val="en-GB" w:eastAsia="zh-CN"/>
        </w:rPr>
        <w:t xml:space="preserve">: </w:t>
      </w:r>
      <w:r w:rsidR="00C32524">
        <w:rPr>
          <w:lang w:val="en-GB" w:eastAsia="zh-CN"/>
        </w:rPr>
        <w:t xml:space="preserve">Introduce a second SSB periodicity in Idle/Inactive mode </w:t>
      </w:r>
      <w:r w:rsidR="005D287B">
        <w:rPr>
          <w:lang w:val="en-GB" w:eastAsia="zh-CN"/>
        </w:rPr>
        <w:t xml:space="preserve">with a longer periodicity than the default SSB periodicity. </w:t>
      </w:r>
    </w:p>
    <w:p w14:paraId="5E650D32" w14:textId="77777777" w:rsidR="009D725A" w:rsidRDefault="009D725A" w:rsidP="009D725A">
      <w:pPr>
        <w:pStyle w:val="Heading1"/>
        <w:jc w:val="both"/>
      </w:pPr>
      <w:bookmarkStart w:id="3" w:name="_Toc242573360"/>
      <w:r>
        <w:t>Summary</w:t>
      </w:r>
      <w:bookmarkEnd w:id="3"/>
    </w:p>
    <w:p w14:paraId="65B81F03" w14:textId="53111113" w:rsidR="001659F2" w:rsidRDefault="001659F2" w:rsidP="001659F2">
      <w:bookmarkStart w:id="4" w:name="_Toc242573361"/>
      <w:r>
        <w:t xml:space="preserve">RAN2 is kindly asked to </w:t>
      </w:r>
      <w:r w:rsidR="00910638">
        <w:t xml:space="preserve">discuss </w:t>
      </w:r>
      <w:r w:rsidR="00AF5A3F">
        <w:rPr>
          <w:lang w:val="en-GB" w:eastAsia="zh-CN"/>
        </w:rPr>
        <w:t>2</w:t>
      </w:r>
      <w:r w:rsidR="00AF5A3F" w:rsidRPr="00492DC6">
        <w:rPr>
          <w:vertAlign w:val="superscript"/>
          <w:lang w:val="en-GB" w:eastAsia="zh-CN"/>
        </w:rPr>
        <w:t>nd</w:t>
      </w:r>
      <w:r w:rsidR="00AF5A3F">
        <w:rPr>
          <w:lang w:val="en-GB" w:eastAsia="zh-CN"/>
        </w:rPr>
        <w:t xml:space="preserve"> SBB periodicity in Idle/Inactive mode</w:t>
      </w:r>
      <w:r>
        <w:t xml:space="preserve">: </w:t>
      </w:r>
    </w:p>
    <w:p w14:paraId="1007DCD2" w14:textId="77777777" w:rsidR="005D287B" w:rsidRPr="00573249" w:rsidRDefault="005D287B" w:rsidP="005D287B">
      <w:pPr>
        <w:rPr>
          <w:lang w:val="en-GB" w:eastAsia="zh-CN"/>
        </w:rPr>
      </w:pPr>
      <w:r>
        <w:rPr>
          <w:b/>
          <w:lang w:val="en-GB" w:eastAsia="zh-CN"/>
        </w:rPr>
        <w:t>Observation</w:t>
      </w:r>
      <w:r w:rsidRPr="00573249">
        <w:rPr>
          <w:b/>
          <w:lang w:val="en-GB" w:eastAsia="zh-CN"/>
        </w:rPr>
        <w:t xml:space="preserve"> 1</w:t>
      </w:r>
      <w:r>
        <w:rPr>
          <w:lang w:val="en-GB" w:eastAsia="zh-CN"/>
        </w:rPr>
        <w:t>: The impact of a 2</w:t>
      </w:r>
      <w:r w:rsidRPr="00492DC6">
        <w:rPr>
          <w:vertAlign w:val="superscript"/>
          <w:lang w:val="en-GB" w:eastAsia="zh-CN"/>
        </w:rPr>
        <w:t>nd</w:t>
      </w:r>
      <w:r>
        <w:rPr>
          <w:lang w:val="en-GB" w:eastAsia="zh-CN"/>
        </w:rPr>
        <w:t xml:space="preserve"> SBB periodicity in Idle/Inactive mode on legacy UE is limited. </w:t>
      </w:r>
    </w:p>
    <w:p w14:paraId="73A7A776" w14:textId="2C408867" w:rsidR="005D287B" w:rsidRPr="00573249" w:rsidRDefault="005D287B" w:rsidP="005D287B">
      <w:pPr>
        <w:rPr>
          <w:lang w:val="en-GB" w:eastAsia="zh-CN"/>
        </w:rPr>
      </w:pPr>
      <w:r>
        <w:rPr>
          <w:b/>
          <w:lang w:val="en-GB" w:eastAsia="zh-CN"/>
        </w:rPr>
        <w:t>Observation</w:t>
      </w:r>
      <w:r w:rsidRPr="00573249">
        <w:rPr>
          <w:b/>
          <w:lang w:val="en-GB" w:eastAsia="zh-CN"/>
        </w:rPr>
        <w:t xml:space="preserve"> </w:t>
      </w:r>
      <w:r>
        <w:rPr>
          <w:b/>
          <w:lang w:val="en-GB" w:eastAsia="zh-CN"/>
        </w:rPr>
        <w:t>2</w:t>
      </w:r>
      <w:r>
        <w:rPr>
          <w:lang w:val="en-GB" w:eastAsia="zh-CN"/>
        </w:rPr>
        <w:t>: There is little benefit to configure a 2</w:t>
      </w:r>
      <w:r w:rsidRPr="001A4584">
        <w:rPr>
          <w:vertAlign w:val="superscript"/>
          <w:lang w:val="en-GB" w:eastAsia="zh-CN"/>
        </w:rPr>
        <w:t>nd</w:t>
      </w:r>
      <w:r>
        <w:rPr>
          <w:lang w:val="en-GB" w:eastAsia="zh-CN"/>
        </w:rPr>
        <w:t xml:space="preserve"> SSB periodicity for “normal” cells</w:t>
      </w:r>
      <w:r w:rsidR="00796EBC">
        <w:rPr>
          <w:lang w:val="en-GB" w:eastAsia="zh-CN"/>
        </w:rPr>
        <w:t>, considering RAN4 minimum requirements</w:t>
      </w:r>
      <w:r>
        <w:rPr>
          <w:lang w:val="en-GB" w:eastAsia="zh-CN"/>
        </w:rPr>
        <w:t xml:space="preserve">. </w:t>
      </w:r>
    </w:p>
    <w:p w14:paraId="2F1C8D4F" w14:textId="77777777" w:rsidR="005D287B" w:rsidRPr="00573249" w:rsidRDefault="005D287B" w:rsidP="005D287B">
      <w:pPr>
        <w:rPr>
          <w:lang w:val="en-GB" w:eastAsia="zh-CN"/>
        </w:rPr>
      </w:pPr>
      <w:r>
        <w:rPr>
          <w:b/>
          <w:lang w:val="en-GB" w:eastAsia="zh-CN"/>
        </w:rPr>
        <w:t>Observation</w:t>
      </w:r>
      <w:r w:rsidRPr="00573249">
        <w:rPr>
          <w:b/>
          <w:lang w:val="en-GB" w:eastAsia="zh-CN"/>
        </w:rPr>
        <w:t xml:space="preserve"> </w:t>
      </w:r>
      <w:r>
        <w:rPr>
          <w:b/>
          <w:lang w:val="en-GB" w:eastAsia="zh-CN"/>
        </w:rPr>
        <w:t>3</w:t>
      </w:r>
      <w:r>
        <w:rPr>
          <w:lang w:val="en-GB" w:eastAsia="zh-CN"/>
        </w:rPr>
        <w:t xml:space="preserve">: The NW should not be required to configure a </w:t>
      </w:r>
      <w:proofErr w:type="spellStart"/>
      <w:r w:rsidRPr="00555709">
        <w:rPr>
          <w:i/>
          <w:lang w:val="en-GB" w:eastAsia="zh-CN"/>
        </w:rPr>
        <w:t>pci</w:t>
      </w:r>
      <w:proofErr w:type="spellEnd"/>
      <w:r w:rsidRPr="00555709">
        <w:rPr>
          <w:i/>
          <w:lang w:val="en-GB" w:eastAsia="zh-CN"/>
        </w:rPr>
        <w:t>-List</w:t>
      </w:r>
      <w:r>
        <w:rPr>
          <w:lang w:val="en-GB" w:eastAsia="zh-CN"/>
        </w:rPr>
        <w:t xml:space="preserve"> for the normal cell deployment</w:t>
      </w:r>
    </w:p>
    <w:p w14:paraId="55D41E5C" w14:textId="77777777" w:rsidR="005D287B" w:rsidRPr="00573249" w:rsidRDefault="005D287B" w:rsidP="005D287B">
      <w:pPr>
        <w:rPr>
          <w:lang w:val="en-GB" w:eastAsia="zh-CN"/>
        </w:rPr>
      </w:pPr>
      <w:r w:rsidRPr="00573249">
        <w:rPr>
          <w:b/>
          <w:lang w:val="en-GB" w:eastAsia="zh-CN"/>
        </w:rPr>
        <w:t>Proposal 1</w:t>
      </w:r>
      <w:r>
        <w:rPr>
          <w:lang w:val="en-GB" w:eastAsia="zh-CN"/>
        </w:rPr>
        <w:t xml:space="preserve">: Introduce a second SSB periodicity in Idle/Inactive mode with a longer periodicity than the default SSB periodicity. </w:t>
      </w:r>
    </w:p>
    <w:p w14:paraId="5A15FD36" w14:textId="77777777" w:rsidR="009D725A" w:rsidRDefault="009D725A" w:rsidP="009D725A">
      <w:pPr>
        <w:pStyle w:val="Heading1"/>
        <w:rPr>
          <w:noProof/>
        </w:rPr>
      </w:pPr>
      <w:r>
        <w:rPr>
          <w:noProof/>
        </w:rPr>
        <w:t>References</w:t>
      </w:r>
      <w:bookmarkEnd w:id="4"/>
    </w:p>
    <w:p w14:paraId="28EE9C3D" w14:textId="77777777" w:rsidR="00A367F1" w:rsidRDefault="008F7321" w:rsidP="00A367F1">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A367F1" w:rsidRPr="00A367F1">
          <w:rPr>
            <w:rStyle w:val="Hyperlink"/>
            <w:sz w:val="16"/>
            <w:szCs w:val="16"/>
            <w:lang w:val="x-none"/>
          </w:rPr>
          <w:t>R2-1913258</w:t>
        </w:r>
      </w:hyperlink>
      <w:r w:rsidR="00A367F1" w:rsidRPr="00A367F1">
        <w:rPr>
          <w:sz w:val="16"/>
          <w:szCs w:val="16"/>
        </w:rPr>
        <w:t xml:space="preserve">, </w:t>
      </w:r>
      <w:r w:rsidR="00A367F1" w:rsidRPr="00A367F1">
        <w:rPr>
          <w:i/>
          <w:sz w:val="16"/>
          <w:szCs w:val="16"/>
          <w:lang w:val="x-none"/>
        </w:rPr>
        <w:t>Introduction of a second SMTC per frequency carrier in idle/inactive</w:t>
      </w:r>
      <w:r w:rsidR="00A367F1" w:rsidRPr="00A367F1">
        <w:rPr>
          <w:sz w:val="16"/>
          <w:szCs w:val="16"/>
        </w:rPr>
        <w:t xml:space="preserve">, </w:t>
      </w:r>
      <w:r w:rsidR="00A367F1" w:rsidRPr="00A367F1">
        <w:rPr>
          <w:sz w:val="16"/>
          <w:szCs w:val="16"/>
          <w:lang w:val="x-none"/>
        </w:rPr>
        <w:t>Orange, AT&amp;T, Vodafone, Telecom Italia S.p.A., CMCC, Samsung, Ericsson</w:t>
      </w:r>
      <w:r w:rsidR="00A367F1" w:rsidRPr="00A367F1">
        <w:rPr>
          <w:sz w:val="16"/>
          <w:szCs w:val="16"/>
        </w:rPr>
        <w:t xml:space="preserve">, </w:t>
      </w:r>
      <w:r w:rsidR="00A367F1" w:rsidRPr="00A367F1">
        <w:rPr>
          <w:sz w:val="16"/>
          <w:szCs w:val="16"/>
          <w:lang w:val="x-none"/>
        </w:rPr>
        <w:t>CR 38.331</w:t>
      </w:r>
      <w:r w:rsidR="00A367F1" w:rsidRPr="00A367F1">
        <w:rPr>
          <w:sz w:val="16"/>
          <w:szCs w:val="16"/>
        </w:rPr>
        <w:t>, RAN2#107bis</w:t>
      </w:r>
    </w:p>
    <w:p w14:paraId="6D9F14B2" w14:textId="37E0E94C" w:rsidR="00A367F1" w:rsidRPr="00A367F1" w:rsidRDefault="008F7321" w:rsidP="00A367F1">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B919D3" w:rsidRPr="00A367F1">
          <w:rPr>
            <w:rStyle w:val="Hyperlink"/>
            <w:sz w:val="16"/>
            <w:szCs w:val="16"/>
            <w:lang w:val="x-none"/>
          </w:rPr>
          <w:t>R2-1913269</w:t>
        </w:r>
      </w:hyperlink>
      <w:r w:rsidR="0091131A" w:rsidRPr="00A367F1">
        <w:rPr>
          <w:sz w:val="16"/>
          <w:szCs w:val="16"/>
        </w:rPr>
        <w:t xml:space="preserve">, </w:t>
      </w:r>
      <w:r w:rsidR="00B919D3" w:rsidRPr="00A367F1">
        <w:rPr>
          <w:i/>
          <w:sz w:val="16"/>
          <w:szCs w:val="16"/>
          <w:lang w:val="x-none"/>
        </w:rPr>
        <w:t>Introduction of a second SMTC for inter-RAT cell reselection</w:t>
      </w:r>
      <w:r w:rsidR="00A367F1">
        <w:rPr>
          <w:sz w:val="16"/>
          <w:szCs w:val="16"/>
          <w:lang w:val="en-GB"/>
        </w:rPr>
        <w:t>,</w:t>
      </w:r>
      <w:r w:rsidR="00B919D3" w:rsidRPr="00A367F1">
        <w:rPr>
          <w:sz w:val="16"/>
          <w:szCs w:val="16"/>
          <w:lang w:val="x-none"/>
        </w:rPr>
        <w:t> Orange, AT&amp;T, Vodafone, Telecom Italia S.p.A., CMCC, Samsung, Ericsson</w:t>
      </w:r>
      <w:r w:rsidR="0091131A" w:rsidRPr="00A367F1">
        <w:rPr>
          <w:sz w:val="16"/>
          <w:szCs w:val="16"/>
        </w:rPr>
        <w:t xml:space="preserve">, </w:t>
      </w:r>
      <w:r w:rsidR="00B919D3" w:rsidRPr="00A367F1">
        <w:rPr>
          <w:sz w:val="16"/>
          <w:szCs w:val="16"/>
          <w:lang w:val="x-none"/>
        </w:rPr>
        <w:t>CR 36.331</w:t>
      </w:r>
      <w:r w:rsidR="0091131A" w:rsidRPr="00A367F1">
        <w:rPr>
          <w:sz w:val="16"/>
          <w:szCs w:val="16"/>
        </w:rPr>
        <w:t>, RAN2#107bis</w:t>
      </w:r>
    </w:p>
    <w:p w14:paraId="0F739C41" w14:textId="77777777" w:rsidR="00A367F1" w:rsidRPr="00A367F1" w:rsidRDefault="008F7321" w:rsidP="00A367F1">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B919D3" w:rsidRPr="00A367F1">
          <w:rPr>
            <w:rStyle w:val="Hyperlink"/>
            <w:sz w:val="16"/>
            <w:szCs w:val="16"/>
            <w:lang w:val="x-none"/>
          </w:rPr>
          <w:t>R2-1912995</w:t>
        </w:r>
      </w:hyperlink>
      <w:r w:rsidR="0091131A" w:rsidRPr="00A367F1">
        <w:rPr>
          <w:sz w:val="16"/>
          <w:szCs w:val="16"/>
        </w:rPr>
        <w:t xml:space="preserve">, </w:t>
      </w:r>
      <w:r w:rsidR="00B919D3" w:rsidRPr="00C47124">
        <w:rPr>
          <w:i/>
          <w:sz w:val="16"/>
          <w:szCs w:val="16"/>
          <w:lang w:val="x-none"/>
        </w:rPr>
        <w:t>Multiple SMTC for Idle</w:t>
      </w:r>
      <w:r w:rsidR="0091131A" w:rsidRPr="00A367F1">
        <w:rPr>
          <w:sz w:val="16"/>
          <w:szCs w:val="16"/>
        </w:rPr>
        <w:t xml:space="preserve">, </w:t>
      </w:r>
      <w:r w:rsidR="00B919D3" w:rsidRPr="00A367F1">
        <w:rPr>
          <w:sz w:val="16"/>
          <w:szCs w:val="16"/>
          <w:lang w:val="x-none"/>
        </w:rPr>
        <w:t xml:space="preserve">Nokia, </w:t>
      </w:r>
      <w:r w:rsidR="00A367F1" w:rsidRPr="00A367F1">
        <w:rPr>
          <w:sz w:val="16"/>
          <w:szCs w:val="16"/>
        </w:rPr>
        <w:t>DISC, RAN2#107bis</w:t>
      </w:r>
    </w:p>
    <w:p w14:paraId="5BD650F2" w14:textId="375A860C" w:rsidR="00B919D3" w:rsidRPr="00402E57" w:rsidRDefault="008F7321" w:rsidP="00A367F1">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B919D3" w:rsidRPr="00A367F1">
          <w:rPr>
            <w:rStyle w:val="Hyperlink"/>
            <w:sz w:val="16"/>
            <w:szCs w:val="16"/>
            <w:lang w:val="x-none"/>
          </w:rPr>
          <w:t>R2-1912996</w:t>
        </w:r>
      </w:hyperlink>
      <w:r w:rsidR="0091131A" w:rsidRPr="00A367F1">
        <w:rPr>
          <w:sz w:val="16"/>
          <w:szCs w:val="16"/>
        </w:rPr>
        <w:t xml:space="preserve">, </w:t>
      </w:r>
      <w:r w:rsidR="00B919D3" w:rsidRPr="00C47124">
        <w:rPr>
          <w:i/>
          <w:sz w:val="16"/>
          <w:szCs w:val="16"/>
          <w:lang w:val="x-none"/>
        </w:rPr>
        <w:t>CR on multiple SMTC for idle</w:t>
      </w:r>
      <w:r w:rsidR="00A367F1" w:rsidRPr="00A367F1">
        <w:rPr>
          <w:sz w:val="16"/>
          <w:szCs w:val="16"/>
        </w:rPr>
        <w:t xml:space="preserve">, </w:t>
      </w:r>
      <w:r w:rsidR="00B919D3" w:rsidRPr="00A367F1">
        <w:rPr>
          <w:sz w:val="16"/>
          <w:szCs w:val="16"/>
          <w:lang w:val="x-none"/>
        </w:rPr>
        <w:t>Nokia, CR 38.331</w:t>
      </w:r>
      <w:r w:rsidR="00A367F1" w:rsidRPr="00A367F1">
        <w:rPr>
          <w:sz w:val="16"/>
          <w:szCs w:val="16"/>
        </w:rPr>
        <w:t>, RAN2#107bis</w:t>
      </w:r>
    </w:p>
    <w:p w14:paraId="44A3BED1" w14:textId="34484AAE" w:rsidR="00352E9B" w:rsidRDefault="008F7321" w:rsidP="00352E9B">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352E9B">
          <w:rPr>
            <w:rStyle w:val="Hyperlink"/>
            <w:rFonts w:cs="Arial"/>
            <w:sz w:val="16"/>
            <w:szCs w:val="16"/>
            <w:lang w:val="de-DE"/>
          </w:rPr>
          <w:t>R2-1911840</w:t>
        </w:r>
      </w:hyperlink>
      <w:r w:rsidR="00402E57">
        <w:rPr>
          <w:rFonts w:cs="Arial"/>
          <w:sz w:val="16"/>
          <w:szCs w:val="16"/>
          <w:lang w:val="de-DE"/>
        </w:rPr>
        <w:t xml:space="preserve">, </w:t>
      </w:r>
      <w:r w:rsidR="00352E9B" w:rsidRPr="002D3340">
        <w:rPr>
          <w:rFonts w:cs="Arial"/>
          <w:i/>
          <w:sz w:val="16"/>
          <w:szCs w:val="16"/>
          <w:lang w:val="de-DE"/>
        </w:rPr>
        <w:t>LS on second SMTC periodicity in idle mode</w:t>
      </w:r>
      <w:r w:rsidR="00352E9B">
        <w:rPr>
          <w:rFonts w:cs="Arial"/>
          <w:sz w:val="16"/>
          <w:szCs w:val="16"/>
          <w:lang w:val="de-DE"/>
        </w:rPr>
        <w:t>, LS out, To: RAN4, CC: RAN1, RAN2#107</w:t>
      </w:r>
    </w:p>
    <w:p w14:paraId="65AD62D9" w14:textId="77777777" w:rsidR="00C47124" w:rsidRDefault="008F7321" w:rsidP="00C47124">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C47124">
          <w:rPr>
            <w:rStyle w:val="Hyperlink"/>
            <w:rFonts w:cs="Arial"/>
            <w:sz w:val="16"/>
            <w:szCs w:val="16"/>
            <w:lang w:val="de-DE"/>
          </w:rPr>
          <w:t>R4-1912744</w:t>
        </w:r>
      </w:hyperlink>
      <w:r w:rsidR="00C47124">
        <w:rPr>
          <w:rFonts w:cs="Arial"/>
          <w:sz w:val="16"/>
          <w:szCs w:val="16"/>
          <w:lang w:val="de-DE"/>
        </w:rPr>
        <w:t xml:space="preserve">, </w:t>
      </w:r>
      <w:r w:rsidR="00C47124" w:rsidRPr="007C74E2">
        <w:rPr>
          <w:rFonts w:cs="Arial"/>
          <w:i/>
          <w:sz w:val="16"/>
          <w:szCs w:val="16"/>
          <w:lang w:val="de-DE"/>
        </w:rPr>
        <w:t>Reply LS on second SMTC periodicity in idle mode</w:t>
      </w:r>
      <w:r w:rsidR="00C47124">
        <w:rPr>
          <w:rFonts w:cs="Arial"/>
          <w:sz w:val="16"/>
          <w:szCs w:val="16"/>
          <w:lang w:val="de-DE"/>
        </w:rPr>
        <w:t>, LS out, To: RAN2, CC: RAN1, RAN4#92bis</w:t>
      </w:r>
    </w:p>
    <w:sectPr w:rsidR="00C47124"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D6CCC" w14:textId="77777777" w:rsidR="008F7321" w:rsidRDefault="008F7321">
      <w:r>
        <w:separator/>
      </w:r>
    </w:p>
  </w:endnote>
  <w:endnote w:type="continuationSeparator" w:id="0">
    <w:p w14:paraId="2FD94851" w14:textId="77777777" w:rsidR="008F7321" w:rsidRDefault="008F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B2B6" w14:textId="77777777" w:rsidR="008F7321" w:rsidRDefault="008F7321">
      <w:r>
        <w:separator/>
      </w:r>
    </w:p>
  </w:footnote>
  <w:footnote w:type="continuationSeparator" w:id="0">
    <w:p w14:paraId="12D97BFA" w14:textId="77777777" w:rsidR="008F7321" w:rsidRDefault="008F73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3"/>
  </w:num>
  <w:num w:numId="3">
    <w:abstractNumId w:val="17"/>
  </w:num>
  <w:num w:numId="4">
    <w:abstractNumId w:val="11"/>
  </w:num>
  <w:num w:numId="5">
    <w:abstractNumId w:val="34"/>
  </w:num>
  <w:num w:numId="6">
    <w:abstractNumId w:val="20"/>
  </w:num>
  <w:num w:numId="7">
    <w:abstractNumId w:val="31"/>
  </w:num>
  <w:num w:numId="8">
    <w:abstractNumId w:val="36"/>
  </w:num>
  <w:num w:numId="9">
    <w:abstractNumId w:val="13"/>
  </w:num>
  <w:num w:numId="10">
    <w:abstractNumId w:val="19"/>
  </w:num>
  <w:num w:numId="11">
    <w:abstractNumId w:val="16"/>
  </w:num>
  <w:num w:numId="12">
    <w:abstractNumId w:val="39"/>
  </w:num>
  <w:num w:numId="13">
    <w:abstractNumId w:val="14"/>
  </w:num>
  <w:num w:numId="14">
    <w:abstractNumId w:val="21"/>
  </w:num>
  <w:num w:numId="15">
    <w:abstractNumId w:val="35"/>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7"/>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38"/>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0E24"/>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55C5"/>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7EC"/>
    <w:rsid w:val="0015199E"/>
    <w:rsid w:val="00164767"/>
    <w:rsid w:val="001648FB"/>
    <w:rsid w:val="0016590C"/>
    <w:rsid w:val="001659F2"/>
    <w:rsid w:val="00172C20"/>
    <w:rsid w:val="00180565"/>
    <w:rsid w:val="0018431E"/>
    <w:rsid w:val="001845B1"/>
    <w:rsid w:val="00191C5C"/>
    <w:rsid w:val="001924EE"/>
    <w:rsid w:val="00192610"/>
    <w:rsid w:val="00194E7F"/>
    <w:rsid w:val="001A241E"/>
    <w:rsid w:val="001A3300"/>
    <w:rsid w:val="001A4584"/>
    <w:rsid w:val="001A7903"/>
    <w:rsid w:val="001A7BB7"/>
    <w:rsid w:val="001B1926"/>
    <w:rsid w:val="001B241A"/>
    <w:rsid w:val="001B5A6D"/>
    <w:rsid w:val="001C0ADE"/>
    <w:rsid w:val="001C448C"/>
    <w:rsid w:val="001C6BCF"/>
    <w:rsid w:val="001D01C0"/>
    <w:rsid w:val="001D5744"/>
    <w:rsid w:val="001D5EC7"/>
    <w:rsid w:val="001E6A9C"/>
    <w:rsid w:val="001F13E9"/>
    <w:rsid w:val="001F5CA1"/>
    <w:rsid w:val="001F6F96"/>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45AC8"/>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3626"/>
    <w:rsid w:val="002C1EF6"/>
    <w:rsid w:val="002C4082"/>
    <w:rsid w:val="002C6AEE"/>
    <w:rsid w:val="002D3340"/>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2E9B"/>
    <w:rsid w:val="0035547C"/>
    <w:rsid w:val="00361092"/>
    <w:rsid w:val="003730EF"/>
    <w:rsid w:val="0037552C"/>
    <w:rsid w:val="0037629E"/>
    <w:rsid w:val="0037719E"/>
    <w:rsid w:val="00383177"/>
    <w:rsid w:val="00387975"/>
    <w:rsid w:val="00393247"/>
    <w:rsid w:val="00393BB2"/>
    <w:rsid w:val="00394450"/>
    <w:rsid w:val="00395015"/>
    <w:rsid w:val="003A5C51"/>
    <w:rsid w:val="003B5CD6"/>
    <w:rsid w:val="003C1556"/>
    <w:rsid w:val="003C1C5D"/>
    <w:rsid w:val="003C3FF0"/>
    <w:rsid w:val="003C50C2"/>
    <w:rsid w:val="003D09AA"/>
    <w:rsid w:val="003D49F3"/>
    <w:rsid w:val="003D7733"/>
    <w:rsid w:val="003F1487"/>
    <w:rsid w:val="003F1522"/>
    <w:rsid w:val="003F191A"/>
    <w:rsid w:val="003F2284"/>
    <w:rsid w:val="003F30D6"/>
    <w:rsid w:val="003F4769"/>
    <w:rsid w:val="003F697E"/>
    <w:rsid w:val="003F7F9E"/>
    <w:rsid w:val="00401136"/>
    <w:rsid w:val="00402E57"/>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4844"/>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2DC6"/>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0EF4"/>
    <w:rsid w:val="0050109B"/>
    <w:rsid w:val="0050273A"/>
    <w:rsid w:val="00505AC7"/>
    <w:rsid w:val="005073E2"/>
    <w:rsid w:val="00510DAC"/>
    <w:rsid w:val="00513A0A"/>
    <w:rsid w:val="00514C2F"/>
    <w:rsid w:val="00516650"/>
    <w:rsid w:val="0051782B"/>
    <w:rsid w:val="00517B15"/>
    <w:rsid w:val="0052219A"/>
    <w:rsid w:val="00522CAB"/>
    <w:rsid w:val="00523341"/>
    <w:rsid w:val="005241C8"/>
    <w:rsid w:val="0052581A"/>
    <w:rsid w:val="00526530"/>
    <w:rsid w:val="00532DB1"/>
    <w:rsid w:val="00542513"/>
    <w:rsid w:val="005433FA"/>
    <w:rsid w:val="00545B4A"/>
    <w:rsid w:val="00545B6C"/>
    <w:rsid w:val="00552732"/>
    <w:rsid w:val="00555709"/>
    <w:rsid w:val="00555E44"/>
    <w:rsid w:val="005575FA"/>
    <w:rsid w:val="00560550"/>
    <w:rsid w:val="00564D25"/>
    <w:rsid w:val="00566CF0"/>
    <w:rsid w:val="00573249"/>
    <w:rsid w:val="0057505D"/>
    <w:rsid w:val="00575E8D"/>
    <w:rsid w:val="00583C42"/>
    <w:rsid w:val="00585607"/>
    <w:rsid w:val="00593BA2"/>
    <w:rsid w:val="00594CE5"/>
    <w:rsid w:val="005950C4"/>
    <w:rsid w:val="005A10D4"/>
    <w:rsid w:val="005A4001"/>
    <w:rsid w:val="005B0E5B"/>
    <w:rsid w:val="005B4B64"/>
    <w:rsid w:val="005B7E9E"/>
    <w:rsid w:val="005C16E7"/>
    <w:rsid w:val="005C3579"/>
    <w:rsid w:val="005C4644"/>
    <w:rsid w:val="005C59E9"/>
    <w:rsid w:val="005C65A3"/>
    <w:rsid w:val="005D1894"/>
    <w:rsid w:val="005D287B"/>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2AA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2817"/>
    <w:rsid w:val="006A3181"/>
    <w:rsid w:val="006A39AE"/>
    <w:rsid w:val="006A6639"/>
    <w:rsid w:val="006B5B69"/>
    <w:rsid w:val="006B5BD4"/>
    <w:rsid w:val="006B6B15"/>
    <w:rsid w:val="006C20C4"/>
    <w:rsid w:val="006C7C34"/>
    <w:rsid w:val="006D151A"/>
    <w:rsid w:val="006D1813"/>
    <w:rsid w:val="006D5962"/>
    <w:rsid w:val="006E0534"/>
    <w:rsid w:val="006E27D1"/>
    <w:rsid w:val="006E5B76"/>
    <w:rsid w:val="006E7D43"/>
    <w:rsid w:val="006F30A0"/>
    <w:rsid w:val="0070422F"/>
    <w:rsid w:val="00704408"/>
    <w:rsid w:val="007045A8"/>
    <w:rsid w:val="00712CDD"/>
    <w:rsid w:val="00712DC4"/>
    <w:rsid w:val="0071555E"/>
    <w:rsid w:val="00717BA8"/>
    <w:rsid w:val="00717D75"/>
    <w:rsid w:val="007215C8"/>
    <w:rsid w:val="00725A44"/>
    <w:rsid w:val="007269ED"/>
    <w:rsid w:val="00730790"/>
    <w:rsid w:val="0073304A"/>
    <w:rsid w:val="00733FF8"/>
    <w:rsid w:val="00734D32"/>
    <w:rsid w:val="00740114"/>
    <w:rsid w:val="007408D3"/>
    <w:rsid w:val="00745917"/>
    <w:rsid w:val="00750D3B"/>
    <w:rsid w:val="00755199"/>
    <w:rsid w:val="007553D9"/>
    <w:rsid w:val="00764CCE"/>
    <w:rsid w:val="00767213"/>
    <w:rsid w:val="0077286C"/>
    <w:rsid w:val="00773DC4"/>
    <w:rsid w:val="00776F25"/>
    <w:rsid w:val="00782D8E"/>
    <w:rsid w:val="007837C7"/>
    <w:rsid w:val="00787E14"/>
    <w:rsid w:val="00796EBC"/>
    <w:rsid w:val="00797CEE"/>
    <w:rsid w:val="007A7AB2"/>
    <w:rsid w:val="007B149C"/>
    <w:rsid w:val="007B23E4"/>
    <w:rsid w:val="007B4955"/>
    <w:rsid w:val="007C0B18"/>
    <w:rsid w:val="007C2EF2"/>
    <w:rsid w:val="007C3BC8"/>
    <w:rsid w:val="007C4779"/>
    <w:rsid w:val="007C51DD"/>
    <w:rsid w:val="007C52AF"/>
    <w:rsid w:val="007C74E2"/>
    <w:rsid w:val="007E0620"/>
    <w:rsid w:val="007E0821"/>
    <w:rsid w:val="007E264A"/>
    <w:rsid w:val="007E2E1A"/>
    <w:rsid w:val="007E4883"/>
    <w:rsid w:val="007E6812"/>
    <w:rsid w:val="007F20CE"/>
    <w:rsid w:val="007F4DC3"/>
    <w:rsid w:val="007F72E1"/>
    <w:rsid w:val="008016A0"/>
    <w:rsid w:val="00805A8C"/>
    <w:rsid w:val="00807D83"/>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67DAD"/>
    <w:rsid w:val="008751B4"/>
    <w:rsid w:val="008763E9"/>
    <w:rsid w:val="00876ABB"/>
    <w:rsid w:val="00882664"/>
    <w:rsid w:val="00887CFE"/>
    <w:rsid w:val="00891598"/>
    <w:rsid w:val="00892BE1"/>
    <w:rsid w:val="00892FED"/>
    <w:rsid w:val="0089369E"/>
    <w:rsid w:val="0089383E"/>
    <w:rsid w:val="00894A91"/>
    <w:rsid w:val="00895B54"/>
    <w:rsid w:val="0089695F"/>
    <w:rsid w:val="008A5D84"/>
    <w:rsid w:val="008B36BD"/>
    <w:rsid w:val="008C226A"/>
    <w:rsid w:val="008C2808"/>
    <w:rsid w:val="008C3CEF"/>
    <w:rsid w:val="008C3DE9"/>
    <w:rsid w:val="008C4571"/>
    <w:rsid w:val="008C48B7"/>
    <w:rsid w:val="008C5D0F"/>
    <w:rsid w:val="008D29D3"/>
    <w:rsid w:val="008D511C"/>
    <w:rsid w:val="008E0B00"/>
    <w:rsid w:val="008E1461"/>
    <w:rsid w:val="008E1744"/>
    <w:rsid w:val="008E251D"/>
    <w:rsid w:val="008E78DC"/>
    <w:rsid w:val="008F7321"/>
    <w:rsid w:val="008F7D64"/>
    <w:rsid w:val="0090043B"/>
    <w:rsid w:val="00910638"/>
    <w:rsid w:val="0091131A"/>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85944"/>
    <w:rsid w:val="009938ED"/>
    <w:rsid w:val="009A0FD5"/>
    <w:rsid w:val="009A1476"/>
    <w:rsid w:val="009A2A28"/>
    <w:rsid w:val="009B07CF"/>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1721"/>
    <w:rsid w:val="00A128F5"/>
    <w:rsid w:val="00A172D8"/>
    <w:rsid w:val="00A222E0"/>
    <w:rsid w:val="00A22376"/>
    <w:rsid w:val="00A22EF1"/>
    <w:rsid w:val="00A24190"/>
    <w:rsid w:val="00A27224"/>
    <w:rsid w:val="00A32754"/>
    <w:rsid w:val="00A3289E"/>
    <w:rsid w:val="00A352A5"/>
    <w:rsid w:val="00A367F1"/>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B7EDD"/>
    <w:rsid w:val="00AC0E27"/>
    <w:rsid w:val="00AC63CE"/>
    <w:rsid w:val="00AC644A"/>
    <w:rsid w:val="00AD4B91"/>
    <w:rsid w:val="00AE052B"/>
    <w:rsid w:val="00AE55BF"/>
    <w:rsid w:val="00AE57F7"/>
    <w:rsid w:val="00AF188F"/>
    <w:rsid w:val="00AF5A3F"/>
    <w:rsid w:val="00AF5EB7"/>
    <w:rsid w:val="00AF6208"/>
    <w:rsid w:val="00AF71DD"/>
    <w:rsid w:val="00B04F39"/>
    <w:rsid w:val="00B13B51"/>
    <w:rsid w:val="00B250D5"/>
    <w:rsid w:val="00B26CFB"/>
    <w:rsid w:val="00B32D49"/>
    <w:rsid w:val="00B43C3C"/>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19D3"/>
    <w:rsid w:val="00B92FD5"/>
    <w:rsid w:val="00B93A99"/>
    <w:rsid w:val="00B94AB5"/>
    <w:rsid w:val="00B95CD3"/>
    <w:rsid w:val="00BA1E62"/>
    <w:rsid w:val="00BA633E"/>
    <w:rsid w:val="00BB39E9"/>
    <w:rsid w:val="00BC02B0"/>
    <w:rsid w:val="00BC560B"/>
    <w:rsid w:val="00BC740F"/>
    <w:rsid w:val="00BD0CC3"/>
    <w:rsid w:val="00BD12AC"/>
    <w:rsid w:val="00BD34F9"/>
    <w:rsid w:val="00BD57B1"/>
    <w:rsid w:val="00BD64D2"/>
    <w:rsid w:val="00BE4B38"/>
    <w:rsid w:val="00BE4D1B"/>
    <w:rsid w:val="00BF69E7"/>
    <w:rsid w:val="00BF7D26"/>
    <w:rsid w:val="00C02D53"/>
    <w:rsid w:val="00C04BF5"/>
    <w:rsid w:val="00C04DC6"/>
    <w:rsid w:val="00C07BF6"/>
    <w:rsid w:val="00C126DD"/>
    <w:rsid w:val="00C145B6"/>
    <w:rsid w:val="00C20CA4"/>
    <w:rsid w:val="00C26256"/>
    <w:rsid w:val="00C32524"/>
    <w:rsid w:val="00C35252"/>
    <w:rsid w:val="00C36420"/>
    <w:rsid w:val="00C36C06"/>
    <w:rsid w:val="00C41466"/>
    <w:rsid w:val="00C437F8"/>
    <w:rsid w:val="00C4384B"/>
    <w:rsid w:val="00C45330"/>
    <w:rsid w:val="00C45952"/>
    <w:rsid w:val="00C47124"/>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B5E"/>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1E40"/>
    <w:rsid w:val="00D32097"/>
    <w:rsid w:val="00D32CB4"/>
    <w:rsid w:val="00D35E98"/>
    <w:rsid w:val="00D3620C"/>
    <w:rsid w:val="00D379B6"/>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115"/>
    <w:rsid w:val="00D87F0D"/>
    <w:rsid w:val="00D91C43"/>
    <w:rsid w:val="00D92185"/>
    <w:rsid w:val="00D936ED"/>
    <w:rsid w:val="00D95D58"/>
    <w:rsid w:val="00D97D81"/>
    <w:rsid w:val="00DA42FF"/>
    <w:rsid w:val="00DB4026"/>
    <w:rsid w:val="00DB4F7D"/>
    <w:rsid w:val="00DB5BC6"/>
    <w:rsid w:val="00DB66D3"/>
    <w:rsid w:val="00DC1553"/>
    <w:rsid w:val="00DD43B0"/>
    <w:rsid w:val="00DD5520"/>
    <w:rsid w:val="00DD6E04"/>
    <w:rsid w:val="00DD7378"/>
    <w:rsid w:val="00DE27BC"/>
    <w:rsid w:val="00DE5650"/>
    <w:rsid w:val="00DE6127"/>
    <w:rsid w:val="00DF0630"/>
    <w:rsid w:val="00DF2ACA"/>
    <w:rsid w:val="00E005F2"/>
    <w:rsid w:val="00E0108F"/>
    <w:rsid w:val="00E043CB"/>
    <w:rsid w:val="00E045D3"/>
    <w:rsid w:val="00E04A03"/>
    <w:rsid w:val="00E1349E"/>
    <w:rsid w:val="00E14055"/>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0646"/>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6680"/>
    <w:rsid w:val="00FF3DF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1041932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725833367">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07bis/Docs/R2-191299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2_RL2/TSGR2_107bis/Docs/R2-191326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4_Radio//TSGR4_92bis/Docs/R4-191274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07bis/Docs/R2-1913258.zip" TargetMode="External"/><Relationship Id="rId5" Type="http://schemas.openxmlformats.org/officeDocument/2006/relationships/styles" Target="styles.xml"/><Relationship Id="rId15" Type="http://schemas.openxmlformats.org/officeDocument/2006/relationships/hyperlink" Target="http://www.3gpp.org/ftp/tsg_ran/WG2_RL2//TSGR2_107/Docs/R2-1911840.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07bis/Docs/R2-1912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45D4BD-09CA-4D95-8DCD-DF544C6DF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CBBA8-D167-4BBA-9582-1663F815CE99}">
  <ds:schemaRefs>
    <ds:schemaRef ds:uri="http://schemas.microsoft.com/sharepoint/v3/contenttype/forms"/>
  </ds:schemaRefs>
</ds:datastoreItem>
</file>

<file path=customXml/itemProps3.xml><?xml version="1.0" encoding="utf-8"?>
<ds:datastoreItem xmlns:ds="http://schemas.openxmlformats.org/officeDocument/2006/customXml" ds:itemID="{B27611DD-5AEF-4CD0-B76E-6D16A7E34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8</cp:revision>
  <cp:lastPrinted>2009-10-21T14:47:00Z</cp:lastPrinted>
  <dcterms:created xsi:type="dcterms:W3CDTF">2019-11-04T08:07:00Z</dcterms:created>
  <dcterms:modified xsi:type="dcterms:W3CDTF">2019-11-08T02:07:00Z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